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C4" w:rsidRPr="00623901" w:rsidRDefault="00936DC0" w:rsidP="00623901">
      <w:pPr>
        <w:pStyle w:val="DecHTitle"/>
        <w:rPr>
          <w:sz w:val="4"/>
          <w:szCs w:val="4"/>
        </w:rPr>
      </w:pPr>
      <w:bookmarkStart w:id="0" w:name="_GoBack"/>
      <w:bookmarkEnd w:id="0"/>
      <w:r w:rsidRPr="00623901">
        <w:rPr>
          <w:szCs w:val="24"/>
        </w:rPr>
        <w:t>PREMIÈRE SECTION</w:t>
      </w:r>
    </w:p>
    <w:p w:rsidR="006544C4" w:rsidRPr="00623901" w:rsidRDefault="006544C4" w:rsidP="00623901">
      <w:pPr>
        <w:pStyle w:val="DecHTitle"/>
        <w:rPr>
          <w:caps/>
          <w:sz w:val="32"/>
        </w:rPr>
      </w:pPr>
      <w:r w:rsidRPr="00623901">
        <w:t>DÉCISION</w:t>
      </w:r>
    </w:p>
    <w:p w:rsidR="006544C4" w:rsidRPr="00623901" w:rsidRDefault="00936DC0" w:rsidP="00623901">
      <w:pPr>
        <w:pStyle w:val="DecHCase"/>
      </w:pPr>
      <w:r w:rsidRPr="00623901">
        <w:t>Requête n</w:t>
      </w:r>
      <w:r w:rsidRPr="00623901">
        <w:rPr>
          <w:vertAlign w:val="superscript"/>
        </w:rPr>
        <w:t>o</w:t>
      </w:r>
      <w:r w:rsidR="006544C4" w:rsidRPr="00623901">
        <w:t xml:space="preserve"> </w:t>
      </w:r>
      <w:r w:rsidRPr="00623901">
        <w:t>27969/10</w:t>
      </w:r>
      <w:r w:rsidR="006544C4" w:rsidRPr="00623901">
        <w:br/>
      </w:r>
      <w:r w:rsidRPr="00623901">
        <w:t>Paolo BRUNI</w:t>
      </w:r>
      <w:r w:rsidRPr="00623901">
        <w:br/>
      </w:r>
      <w:r w:rsidR="006544C4" w:rsidRPr="00623901">
        <w:t xml:space="preserve">contre </w:t>
      </w:r>
      <w:r w:rsidRPr="00623901">
        <w:t>l</w:t>
      </w:r>
      <w:r w:rsidR="00623901" w:rsidRPr="00623901">
        <w:t>’</w:t>
      </w:r>
      <w:r w:rsidRPr="00623901">
        <w:t>Italie</w:t>
      </w:r>
    </w:p>
    <w:p w:rsidR="00936DC0" w:rsidRPr="00623901" w:rsidRDefault="00936DC0" w:rsidP="00623901">
      <w:pPr>
        <w:pStyle w:val="JuPara"/>
      </w:pPr>
      <w:r w:rsidRPr="00623901">
        <w:t>La Cour européenne des droits de l</w:t>
      </w:r>
      <w:r w:rsidR="00623901" w:rsidRPr="00623901">
        <w:t>’</w:t>
      </w:r>
      <w:r w:rsidRPr="00623901">
        <w:t xml:space="preserve">homme (première section), siégeant le </w:t>
      </w:r>
      <w:r w:rsidR="00986416" w:rsidRPr="00623901">
        <w:t>3 mars 2020</w:t>
      </w:r>
      <w:r w:rsidRPr="00623901">
        <w:t xml:space="preserve"> en un comité composé de :</w:t>
      </w:r>
    </w:p>
    <w:p w:rsidR="00936DC0" w:rsidRPr="00623901" w:rsidRDefault="00986416" w:rsidP="00623901">
      <w:pPr>
        <w:pStyle w:val="JuJudges"/>
        <w:jc w:val="left"/>
      </w:pPr>
      <w:r w:rsidRPr="00623901">
        <w:tab/>
        <w:t xml:space="preserve">Tim </w:t>
      </w:r>
      <w:proofErr w:type="spellStart"/>
      <w:r w:rsidRPr="00623901">
        <w:t>Eicke</w:t>
      </w:r>
      <w:proofErr w:type="spellEnd"/>
      <w:r w:rsidRPr="00623901">
        <w:t>,</w:t>
      </w:r>
      <w:r w:rsidRPr="00623901">
        <w:rPr>
          <w:i/>
        </w:rPr>
        <w:t xml:space="preserve"> président,</w:t>
      </w:r>
      <w:r w:rsidRPr="00623901">
        <w:rPr>
          <w:i/>
        </w:rPr>
        <w:br/>
      </w:r>
      <w:r w:rsidRPr="00623901">
        <w:tab/>
        <w:t xml:space="preserve">Jovan </w:t>
      </w:r>
      <w:proofErr w:type="spellStart"/>
      <w:r w:rsidRPr="00623901">
        <w:t>Ilievski</w:t>
      </w:r>
      <w:proofErr w:type="spellEnd"/>
      <w:r w:rsidRPr="00623901">
        <w:t>,</w:t>
      </w:r>
      <w:r w:rsidRPr="00623901">
        <w:rPr>
          <w:i/>
        </w:rPr>
        <w:br/>
      </w:r>
      <w:r w:rsidRPr="00623901">
        <w:tab/>
      </w:r>
      <w:proofErr w:type="spellStart"/>
      <w:r w:rsidRPr="00623901">
        <w:t>Raffaele</w:t>
      </w:r>
      <w:proofErr w:type="spellEnd"/>
      <w:r w:rsidRPr="00623901">
        <w:t xml:space="preserve"> Sabato,</w:t>
      </w:r>
      <w:r w:rsidRPr="00623901">
        <w:rPr>
          <w:i/>
        </w:rPr>
        <w:t xml:space="preserve"> juges,</w:t>
      </w:r>
    </w:p>
    <w:p w:rsidR="00936DC0" w:rsidRPr="00623901" w:rsidRDefault="00936DC0" w:rsidP="00623901">
      <w:pPr>
        <w:pStyle w:val="JuPara"/>
      </w:pPr>
      <w:proofErr w:type="gramStart"/>
      <w:r w:rsidRPr="00623901">
        <w:t>et</w:t>
      </w:r>
      <w:proofErr w:type="gramEnd"/>
      <w:r w:rsidRPr="00623901">
        <w:t xml:space="preserve"> de Renata </w:t>
      </w:r>
      <w:proofErr w:type="spellStart"/>
      <w:r w:rsidRPr="00623901">
        <w:t>Degener</w:t>
      </w:r>
      <w:proofErr w:type="spellEnd"/>
      <w:r w:rsidRPr="00623901">
        <w:t xml:space="preserve">, </w:t>
      </w:r>
      <w:r w:rsidRPr="00623901">
        <w:rPr>
          <w:i/>
        </w:rPr>
        <w:t>greffière adjointe</w:t>
      </w:r>
      <w:r w:rsidRPr="00623901">
        <w:rPr>
          <w:i/>
          <w:iCs/>
        </w:rPr>
        <w:t xml:space="preserve"> d</w:t>
      </w:r>
      <w:r w:rsidRPr="00623901">
        <w:rPr>
          <w:i/>
        </w:rPr>
        <w:t>e section</w:t>
      </w:r>
      <w:r w:rsidRPr="00623901">
        <w:t>,</w:t>
      </w:r>
    </w:p>
    <w:p w:rsidR="00936DC0" w:rsidRPr="00623901" w:rsidRDefault="00936DC0" w:rsidP="00623901">
      <w:pPr>
        <w:pStyle w:val="JuPara"/>
      </w:pPr>
      <w:r w:rsidRPr="00623901">
        <w:t>Vu la requête susmentionnée introduite le 17 mai 2010,</w:t>
      </w:r>
    </w:p>
    <w:p w:rsidR="00936DC0" w:rsidRPr="00623901" w:rsidRDefault="00936DC0" w:rsidP="00623901">
      <w:pPr>
        <w:pStyle w:val="JuPara"/>
      </w:pPr>
      <w:r w:rsidRPr="00623901">
        <w:t>Vu les observations soumises par le gouvernement défendeur et celles présentées en réponse par le requérant,</w:t>
      </w:r>
    </w:p>
    <w:p w:rsidR="00936DC0" w:rsidRPr="00623901" w:rsidRDefault="00936DC0" w:rsidP="00623901">
      <w:pPr>
        <w:pStyle w:val="JuPara"/>
      </w:pPr>
      <w:r w:rsidRPr="00623901">
        <w:t>Après en avoir délibéré, rend la décision suivante :</w:t>
      </w:r>
    </w:p>
    <w:p w:rsidR="00936DC0" w:rsidRPr="00623901" w:rsidRDefault="00936DC0" w:rsidP="00623901">
      <w:pPr>
        <w:pStyle w:val="JuHHead"/>
        <w:numPr>
          <w:ilvl w:val="0"/>
          <w:numId w:val="1"/>
        </w:numPr>
      </w:pPr>
      <w:r w:rsidRPr="00623901">
        <w:t>EN FAIT</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1</w:t>
      </w:r>
      <w:r w:rsidRPr="00623901">
        <w:fldChar w:fldCharType="end"/>
      </w:r>
      <w:r w:rsidRPr="00623901">
        <w:t xml:space="preserve">.  Le requérant, M. Paolo Bruni, est un ressortissant italien né en 1950 et résidant à </w:t>
      </w:r>
      <w:proofErr w:type="spellStart"/>
      <w:r w:rsidRPr="00623901">
        <w:t>Conegliano</w:t>
      </w:r>
      <w:proofErr w:type="spellEnd"/>
      <w:r w:rsidRPr="00623901">
        <w:t>. Il a été représenté devant la Cour par M</w:t>
      </w:r>
      <w:r w:rsidRPr="00623901">
        <w:rPr>
          <w:vertAlign w:val="superscript"/>
        </w:rPr>
        <w:t>e</w:t>
      </w:r>
      <w:r w:rsidRPr="00623901">
        <w:t> R. Canal, avocat exerçant à Trévise.</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2</w:t>
      </w:r>
      <w:r w:rsidRPr="00623901">
        <w:fldChar w:fldCharType="end"/>
      </w:r>
      <w:r w:rsidRPr="00623901">
        <w:t>.  Le gouvernement italien (« le Gouvernement ») a été représenté par son ancienne agente, M</w:t>
      </w:r>
      <w:r w:rsidRPr="00623901">
        <w:rPr>
          <w:vertAlign w:val="superscript"/>
        </w:rPr>
        <w:t xml:space="preserve">me </w:t>
      </w:r>
      <w:r w:rsidRPr="00623901">
        <w:t xml:space="preserve">E. </w:t>
      </w:r>
      <w:proofErr w:type="spellStart"/>
      <w:r w:rsidRPr="00623901">
        <w:t>Spatafora</w:t>
      </w:r>
      <w:proofErr w:type="spellEnd"/>
      <w:r w:rsidRPr="00623901">
        <w:t xml:space="preserve">, et par son ancienne </w:t>
      </w:r>
      <w:proofErr w:type="spellStart"/>
      <w:r w:rsidRPr="00623901">
        <w:t>coagente</w:t>
      </w:r>
      <w:proofErr w:type="spellEnd"/>
      <w:r w:rsidRPr="00623901">
        <w:t>, M</w:t>
      </w:r>
      <w:r w:rsidRPr="00623901">
        <w:rPr>
          <w:vertAlign w:val="superscript"/>
        </w:rPr>
        <w:t>me </w:t>
      </w:r>
      <w:r w:rsidRPr="00623901">
        <w:t>P. </w:t>
      </w:r>
      <w:proofErr w:type="spellStart"/>
      <w:r w:rsidRPr="00623901">
        <w:t>Accardo</w:t>
      </w:r>
      <w:proofErr w:type="spellEnd"/>
      <w:r w:rsidRPr="00623901">
        <w:t>.</w:t>
      </w:r>
    </w:p>
    <w:p w:rsidR="00936DC0" w:rsidRPr="00623901" w:rsidRDefault="00936DC0" w:rsidP="00623901">
      <w:pPr>
        <w:pStyle w:val="JuHIRoman"/>
      </w:pPr>
      <w:r w:rsidRPr="00623901">
        <w:t>Les circonstances de l</w:t>
      </w:r>
      <w:r w:rsidR="00623901" w:rsidRPr="00623901">
        <w:t>’</w:t>
      </w:r>
      <w:r w:rsidRPr="00623901">
        <w:t>espèce</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3</w:t>
      </w:r>
      <w:r w:rsidRPr="00623901">
        <w:fldChar w:fldCharType="end"/>
      </w:r>
      <w:r w:rsidRPr="00623901">
        <w:t>.  Les faits de la cause, tels qu</w:t>
      </w:r>
      <w:r w:rsidR="00623901" w:rsidRPr="00623901">
        <w:t>’</w:t>
      </w:r>
      <w:r w:rsidRPr="00623901">
        <w:t>ils ont été exposés par les parties, peuvent se résumer comme suit.</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4</w:t>
      </w:r>
      <w:r w:rsidRPr="00623901">
        <w:fldChar w:fldCharType="end"/>
      </w:r>
      <w:r w:rsidRPr="00623901">
        <w:t>.  Le requérant est avocat. En 1999, il fut condamné à une peine d</w:t>
      </w:r>
      <w:r w:rsidR="00623901" w:rsidRPr="00623901">
        <w:t>’</w:t>
      </w:r>
      <w:r w:rsidRPr="00623901">
        <w:t>emprisonnement d</w:t>
      </w:r>
      <w:r w:rsidR="00623901" w:rsidRPr="00623901">
        <w:t>’</w:t>
      </w:r>
      <w:r w:rsidRPr="00623901">
        <w:t>un an et un mois et à une amende de 900 000 euros (EUR) pour escroquerie aggravée envers une cliente, M.S. Cette condamnation acquit force de chose jugée le 28 juin 2000.</w:t>
      </w:r>
    </w:p>
    <w:p w:rsidR="00936DC0" w:rsidRPr="00623901" w:rsidRDefault="00936DC0" w:rsidP="00623901">
      <w:pPr>
        <w:pStyle w:val="JuPara"/>
      </w:pPr>
      <w:r w:rsidRPr="00623901">
        <w:lastRenderedPageBreak/>
        <w:fldChar w:fldCharType="begin"/>
      </w:r>
      <w:r w:rsidRPr="00623901">
        <w:instrText xml:space="preserve"> SEQ level0 \*arabic </w:instrText>
      </w:r>
      <w:r w:rsidRPr="00623901">
        <w:fldChar w:fldCharType="separate"/>
      </w:r>
      <w:r w:rsidR="00623901" w:rsidRPr="00623901">
        <w:rPr>
          <w:noProof/>
        </w:rPr>
        <w:t>5</w:t>
      </w:r>
      <w:r w:rsidRPr="00623901">
        <w:fldChar w:fldCharType="end"/>
      </w:r>
      <w:r w:rsidRPr="00623901">
        <w:t>.  Le 3 juillet 2002, le requérant porta plainte contre M.S. et le beau-fils de celle-ci, T.D., pour calomnie et faux témoignage commis dans le cadre de son procès.</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6</w:t>
      </w:r>
      <w:r w:rsidRPr="00623901">
        <w:fldChar w:fldCharType="end"/>
      </w:r>
      <w:r w:rsidRPr="00623901">
        <w:t>.  Par une ordonnance du 19 mai 2006, L.G., le juge des investigations préliminaires (« le GIP ») chargé de l</w:t>
      </w:r>
      <w:r w:rsidR="00623901" w:rsidRPr="00623901">
        <w:t>’</w:t>
      </w:r>
      <w:r w:rsidRPr="00623901">
        <w:t>affaire, ordonna le classement sans suite de la plainte au motif que les éléments du dossier pris dans leur ensemble ne justifiaient pas les poursuites contre M.S. et T.D.</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7</w:t>
      </w:r>
      <w:r w:rsidRPr="00623901">
        <w:fldChar w:fldCharType="end"/>
      </w:r>
      <w:r w:rsidRPr="00623901">
        <w:t>.  Le 7 janvier 2008, la Cour de cassation accueillit le recours qui avait été introduit par le requérant et annula cette ordonnance, car le parquet avait omis de notifier la demande de classement au requérant, partie lésée, conformément à l</w:t>
      </w:r>
      <w:r w:rsidR="00623901" w:rsidRPr="00623901">
        <w:t>’</w:t>
      </w:r>
      <w:r w:rsidRPr="00623901">
        <w:t>article 408 du code de procédure pénale.</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8</w:t>
      </w:r>
      <w:r w:rsidRPr="00623901">
        <w:fldChar w:fldCharType="end"/>
      </w:r>
      <w:r w:rsidRPr="00623901">
        <w:t>.  Le 15 novembre 2008, le juge L.G. déclara vouloir s</w:t>
      </w:r>
      <w:r w:rsidR="00623901" w:rsidRPr="00623901">
        <w:t>’</w:t>
      </w:r>
      <w:r w:rsidRPr="00623901">
        <w:t>abstenir de connaître de l</w:t>
      </w:r>
      <w:r w:rsidR="00623901" w:rsidRPr="00623901">
        <w:t>’</w:t>
      </w:r>
      <w:r w:rsidRPr="00623901">
        <w:t>affaire au motif qu</w:t>
      </w:r>
      <w:r w:rsidR="00623901" w:rsidRPr="00623901">
        <w:t>’</w:t>
      </w:r>
      <w:r w:rsidRPr="00623901">
        <w:t>il s</w:t>
      </w:r>
      <w:r w:rsidR="00623901" w:rsidRPr="00623901">
        <w:t>’</w:t>
      </w:r>
      <w:r w:rsidRPr="00623901">
        <w:t>était déjà prononcé en faveur du classement de la plainte du requérant.</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9</w:t>
      </w:r>
      <w:r w:rsidRPr="00623901">
        <w:fldChar w:fldCharType="end"/>
      </w:r>
      <w:r w:rsidRPr="00623901">
        <w:t>.  Le président du tribunal accepta la déclaration d</w:t>
      </w:r>
      <w:r w:rsidR="00623901" w:rsidRPr="00623901">
        <w:t>’</w:t>
      </w:r>
      <w:r w:rsidRPr="00623901">
        <w:t>abstention le 18 novembre 2008 et confia l</w:t>
      </w:r>
      <w:r w:rsidR="00623901" w:rsidRPr="00623901">
        <w:t>’</w:t>
      </w:r>
      <w:r w:rsidRPr="00623901">
        <w:t>affaire à un autre juge, G.A., qui par une décision du 20 février 2009 ordonna des investigations complémentaires.</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10</w:t>
      </w:r>
      <w:r w:rsidRPr="00623901">
        <w:fldChar w:fldCharType="end"/>
      </w:r>
      <w:r w:rsidRPr="00623901">
        <w:t>.  Le 19 juin 2009, le parquet demanda une nouvelle fois le classement sans suite de la plainte et indiqua que les nouvelles investigations n</w:t>
      </w:r>
      <w:r w:rsidR="00623901" w:rsidRPr="00623901">
        <w:t>’</w:t>
      </w:r>
      <w:r w:rsidRPr="00623901">
        <w:t>avaient pas permis d</w:t>
      </w:r>
      <w:r w:rsidR="00623901" w:rsidRPr="00623901">
        <w:t>’</w:t>
      </w:r>
      <w:r w:rsidRPr="00623901">
        <w:t>étayer les accusations portées contre les prévenus. Le requérant s</w:t>
      </w:r>
      <w:r w:rsidR="00623901" w:rsidRPr="00623901">
        <w:t>’</w:t>
      </w:r>
      <w:r w:rsidRPr="00623901">
        <w:t>opposa au classement.</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11</w:t>
      </w:r>
      <w:r w:rsidRPr="00623901">
        <w:fldChar w:fldCharType="end"/>
      </w:r>
      <w:r w:rsidRPr="00623901">
        <w:t>.  Par une décision du 5 novembre 2009, le juge L.G., sans programmer d</w:t>
      </w:r>
      <w:r w:rsidR="00623901" w:rsidRPr="00623901">
        <w:t>’</w:t>
      </w:r>
      <w:r w:rsidRPr="00623901">
        <w:t>audience, déclara irrecevable l</w:t>
      </w:r>
      <w:r w:rsidR="00623901" w:rsidRPr="00623901">
        <w:t>’</w:t>
      </w:r>
      <w:r w:rsidRPr="00623901">
        <w:t>opposition du requérant et ordonna le classement sans suite des poursuites. Le requérant ne se pourvut pas en cassation contre cette décision.</w:t>
      </w:r>
    </w:p>
    <w:p w:rsidR="00936DC0" w:rsidRPr="00623901" w:rsidRDefault="00936DC0" w:rsidP="00623901">
      <w:pPr>
        <w:pStyle w:val="JuHIRoman"/>
      </w:pPr>
      <w:r w:rsidRPr="00623901">
        <w:t>Le droit interne pertinent</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12</w:t>
      </w:r>
      <w:r w:rsidRPr="00623901">
        <w:fldChar w:fldCharType="end"/>
      </w:r>
      <w:r w:rsidRPr="00623901">
        <w:t>.  Selon l</w:t>
      </w:r>
      <w:r w:rsidR="00623901" w:rsidRPr="00623901">
        <w:t>’</w:t>
      </w:r>
      <w:r w:rsidRPr="00623901">
        <w:t>article 42 du code de procédure pénale (CPP), un juge ne peut accomplir aucun acte de procédure une fois que sa déclaration d</w:t>
      </w:r>
      <w:r w:rsidR="00623901" w:rsidRPr="00623901">
        <w:t>’</w:t>
      </w:r>
      <w:r w:rsidRPr="00623901">
        <w:t>abstention ou sa récusation a été acceptée.</w:t>
      </w:r>
    </w:p>
    <w:p w:rsidR="00936DC0" w:rsidRPr="00623901" w:rsidRDefault="00936DC0" w:rsidP="00623901">
      <w:pPr>
        <w:pStyle w:val="JuPara"/>
      </w:pPr>
      <w:r w:rsidRPr="00623901">
        <w:t>La décision prise par un juge en dépit de son abstention ou de sa récusation est frappée de nullité absolue et est irrémédiable (</w:t>
      </w:r>
      <w:proofErr w:type="spellStart"/>
      <w:r w:rsidRPr="00623901">
        <w:rPr>
          <w:i/>
        </w:rPr>
        <w:t>insanabile</w:t>
      </w:r>
      <w:proofErr w:type="spellEnd"/>
      <w:r w:rsidRPr="00623901">
        <w:t>) au sens de l</w:t>
      </w:r>
      <w:r w:rsidR="00623901" w:rsidRPr="00623901">
        <w:t>’</w:t>
      </w:r>
      <w:r w:rsidRPr="00623901">
        <w:t>article 178 § 1 a) du CPP. Cette nullité demeure irrémédiable tout au long de la procédure dans laquelle elle est apparue. Cependant, elle cesse d</w:t>
      </w:r>
      <w:r w:rsidR="00623901" w:rsidRPr="00623901">
        <w:t>’</w:t>
      </w:r>
      <w:r w:rsidRPr="00623901">
        <w:t>exister une fois que le délai fixé pour interjeter appel du jugement qui met fin à la procédure est écoulé et que ce jugement a acquis force de chose jugée.</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13</w:t>
      </w:r>
      <w:r w:rsidRPr="00623901">
        <w:fldChar w:fldCharType="end"/>
      </w:r>
      <w:r w:rsidRPr="00623901">
        <w:t>.  Selon l</w:t>
      </w:r>
      <w:r w:rsidR="00623901" w:rsidRPr="00623901">
        <w:t>’</w:t>
      </w:r>
      <w:r w:rsidRPr="00623901">
        <w:t>article 606 § 1 c) du CPP, le non-respect des dispositions procédurales imparties sous peine de nullité est l</w:t>
      </w:r>
      <w:r w:rsidR="00623901" w:rsidRPr="00623901">
        <w:t>’</w:t>
      </w:r>
      <w:r w:rsidRPr="00623901">
        <w:t>un des motifs sur lesquels il est possible de fonder un pourvoi en cassation.</w:t>
      </w:r>
    </w:p>
    <w:p w:rsidR="00936DC0" w:rsidRPr="00623901" w:rsidRDefault="00936DC0" w:rsidP="00623901">
      <w:pPr>
        <w:pStyle w:val="JuHHead"/>
        <w:numPr>
          <w:ilvl w:val="0"/>
          <w:numId w:val="1"/>
        </w:numPr>
      </w:pPr>
      <w:r w:rsidRPr="00623901">
        <w:t>GRIEFS</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14</w:t>
      </w:r>
      <w:r w:rsidRPr="00623901">
        <w:fldChar w:fldCharType="end"/>
      </w:r>
      <w:r w:rsidRPr="00623901">
        <w:t>.  Invoquant l</w:t>
      </w:r>
      <w:r w:rsidR="00623901" w:rsidRPr="00623901">
        <w:t>’</w:t>
      </w:r>
      <w:r w:rsidRPr="00623901">
        <w:t>article 6 § 1 de la Convention, le requérant se plaint du manque d</w:t>
      </w:r>
      <w:r w:rsidR="00623901" w:rsidRPr="00623901">
        <w:t>’</w:t>
      </w:r>
      <w:r w:rsidRPr="00623901">
        <w:t>équité de la procédure pénale qui était dirigée contre M.S. et T.D. Il allègue en particulier un manque d</w:t>
      </w:r>
      <w:r w:rsidR="00623901" w:rsidRPr="00623901">
        <w:t>’</w:t>
      </w:r>
      <w:r w:rsidRPr="00623901">
        <w:t>impartialité du juge L.G., qui a jugé l</w:t>
      </w:r>
      <w:r w:rsidR="00623901" w:rsidRPr="00623901">
        <w:t>’</w:t>
      </w:r>
      <w:r w:rsidRPr="00623901">
        <w:t>affaire en dépit de son abstention, et il conteste la décision de classement de sa plainte, intervenue sans qu</w:t>
      </w:r>
      <w:r w:rsidR="00623901" w:rsidRPr="00623901">
        <w:t>’</w:t>
      </w:r>
      <w:r w:rsidRPr="00623901">
        <w:t>une audience eût été programmée au préalable.</w:t>
      </w:r>
    </w:p>
    <w:p w:rsidR="00936DC0" w:rsidRPr="00623901" w:rsidRDefault="00936DC0" w:rsidP="00623901">
      <w:pPr>
        <w:pStyle w:val="JuHHead"/>
        <w:numPr>
          <w:ilvl w:val="0"/>
          <w:numId w:val="1"/>
        </w:numPr>
      </w:pPr>
      <w:r w:rsidRPr="00623901">
        <w:t>EN DROIT</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15</w:t>
      </w:r>
      <w:r w:rsidRPr="00623901">
        <w:fldChar w:fldCharType="end"/>
      </w:r>
      <w:r w:rsidRPr="00623901">
        <w:t>.  Le requérant invoque l</w:t>
      </w:r>
      <w:r w:rsidR="00623901" w:rsidRPr="00623901">
        <w:t>’</w:t>
      </w:r>
      <w:r w:rsidRPr="00623901">
        <w:t>article 6 § 1 de la Convention, qui, en ses parties pertinentes en l</w:t>
      </w:r>
      <w:r w:rsidR="00623901" w:rsidRPr="00623901">
        <w:t>’</w:t>
      </w:r>
      <w:r w:rsidRPr="00623901">
        <w:t>espèce, est ainsi libellé :</w:t>
      </w:r>
    </w:p>
    <w:p w:rsidR="00936DC0" w:rsidRPr="00623901" w:rsidRDefault="00936DC0" w:rsidP="00623901">
      <w:pPr>
        <w:pStyle w:val="JuQuot"/>
      </w:pPr>
      <w:r w:rsidRPr="00623901">
        <w:t>« Toute personne a droit à ce que sa cause soit entendue équitablement (...) par un tribunal indépendant et impartial, établi par la loi, qui décidera (...) soit des contestations sur ses droits et obligations de caractère civil, soit du bien-fondé de toute accusation en matière pénale dirigée contre elle (...) »</w:t>
      </w:r>
    </w:p>
    <w:p w:rsidR="00936DC0" w:rsidRPr="00623901" w:rsidRDefault="00936DC0" w:rsidP="00623901">
      <w:pPr>
        <w:pStyle w:val="JuHA"/>
        <w:numPr>
          <w:ilvl w:val="2"/>
          <w:numId w:val="1"/>
        </w:numPr>
      </w:pPr>
      <w:r w:rsidRPr="00623901">
        <w:t>Les arguments des parties</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16</w:t>
      </w:r>
      <w:r w:rsidRPr="00623901">
        <w:fldChar w:fldCharType="end"/>
      </w:r>
      <w:r w:rsidRPr="00623901">
        <w:t>.  Le Gouvernement estime en premier lieu que l</w:t>
      </w:r>
      <w:r w:rsidR="00623901" w:rsidRPr="00623901">
        <w:t>’</w:t>
      </w:r>
      <w:r w:rsidRPr="00623901">
        <w:t>article 6 § 1 de la Convention ne trouve pas à s</w:t>
      </w:r>
      <w:r w:rsidR="00623901" w:rsidRPr="00623901">
        <w:t>’</w:t>
      </w:r>
      <w:r w:rsidRPr="00623901">
        <w:t>appliquer en l</w:t>
      </w:r>
      <w:r w:rsidR="00623901" w:rsidRPr="00623901">
        <w:t>’</w:t>
      </w:r>
      <w:r w:rsidRPr="00623901">
        <w:t>espèce, le requérant ne s</w:t>
      </w:r>
      <w:r w:rsidR="00623901" w:rsidRPr="00623901">
        <w:t>’</w:t>
      </w:r>
      <w:r w:rsidRPr="00623901">
        <w:t>étant pas constitué partie civile dans la procédure litigieuse.</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17</w:t>
      </w:r>
      <w:r w:rsidRPr="00623901">
        <w:fldChar w:fldCharType="end"/>
      </w:r>
      <w:r w:rsidRPr="00623901">
        <w:t>.  En deuxième lieu, il plaide le non-épuisement des voies de recours internes et avance à cet égard deux raisons. Tout d</w:t>
      </w:r>
      <w:r w:rsidR="00623901" w:rsidRPr="00623901">
        <w:t>’</w:t>
      </w:r>
      <w:r w:rsidRPr="00623901">
        <w:t>abord, il indique que l</w:t>
      </w:r>
      <w:r w:rsidR="00623901" w:rsidRPr="00623901">
        <w:t>’</w:t>
      </w:r>
      <w:r w:rsidRPr="00623901">
        <w:t>intéressé n</w:t>
      </w:r>
      <w:r w:rsidR="00623901" w:rsidRPr="00623901">
        <w:t>’</w:t>
      </w:r>
      <w:r w:rsidRPr="00623901">
        <w:t>a pas introduit de pourvoi en cassation contre l</w:t>
      </w:r>
      <w:r w:rsidR="00623901" w:rsidRPr="00623901">
        <w:t>’</w:t>
      </w:r>
      <w:r w:rsidRPr="00623901">
        <w:t>ordonnance de classement du 5 novembre 2009. Il considère à ce propos que le recours en cassation, que le requérant avait d</w:t>
      </w:r>
      <w:r w:rsidR="00623901" w:rsidRPr="00623901">
        <w:t>’</w:t>
      </w:r>
      <w:r w:rsidRPr="00623901">
        <w:t>ailleurs exercé avec succès contre la première ordonnance de classement rendue par le GIP, est un recours accessible et efficace qui aurait permis d</w:t>
      </w:r>
      <w:r w:rsidR="00623901" w:rsidRPr="00623901">
        <w:t>’</w:t>
      </w:r>
      <w:r w:rsidRPr="00623901">
        <w:t>obtenir l</w:t>
      </w:r>
      <w:r w:rsidR="00623901" w:rsidRPr="00623901">
        <w:t>’</w:t>
      </w:r>
      <w:r w:rsidRPr="00623901">
        <w:t>annulation de la décision de classement des poursuites.</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18</w:t>
      </w:r>
      <w:r w:rsidRPr="00623901">
        <w:fldChar w:fldCharType="end"/>
      </w:r>
      <w:r w:rsidRPr="00623901">
        <w:t>.  En outre, il soutient que le requérant n</w:t>
      </w:r>
      <w:r w:rsidR="00623901" w:rsidRPr="00623901">
        <w:t>’</w:t>
      </w:r>
      <w:r w:rsidRPr="00623901">
        <w:t>a pas saisi le juge civil d</w:t>
      </w:r>
      <w:r w:rsidR="00623901" w:rsidRPr="00623901">
        <w:t>’</w:t>
      </w:r>
      <w:r w:rsidRPr="00623901">
        <w:t>une action en réparation contre M.S. et T.D. Il considère que les raisons avancées par l</w:t>
      </w:r>
      <w:r w:rsidR="00623901" w:rsidRPr="00623901">
        <w:t>’</w:t>
      </w:r>
      <w:r w:rsidRPr="00623901">
        <w:t>intéressé ne permettent pas de justifier le non-épuisement des voies de recours internes en l</w:t>
      </w:r>
      <w:r w:rsidR="00623901" w:rsidRPr="00623901">
        <w:t>’</w:t>
      </w:r>
      <w:r w:rsidRPr="00623901">
        <w:t>espèce.</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19</w:t>
      </w:r>
      <w:r w:rsidRPr="00623901">
        <w:fldChar w:fldCharType="end"/>
      </w:r>
      <w:r w:rsidRPr="00623901">
        <w:t>.  Le requérant estime que l</w:t>
      </w:r>
      <w:r w:rsidR="00623901" w:rsidRPr="00623901">
        <w:t>’</w:t>
      </w:r>
      <w:r w:rsidRPr="00623901">
        <w:t>article 6 est applicable en l</w:t>
      </w:r>
      <w:r w:rsidR="00623901" w:rsidRPr="00623901">
        <w:t>’</w:t>
      </w:r>
      <w:r w:rsidRPr="00623901">
        <w:t>espèce sous son volet civil.</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20</w:t>
      </w:r>
      <w:r w:rsidRPr="00623901">
        <w:fldChar w:fldCharType="end"/>
      </w:r>
      <w:r w:rsidRPr="00623901">
        <w:t>.  Il explique le fait qu</w:t>
      </w:r>
      <w:r w:rsidR="00623901" w:rsidRPr="00623901">
        <w:t>’</w:t>
      </w:r>
      <w:r w:rsidRPr="00623901">
        <w:t>il ne se soit pas pourvu en cassation contre l</w:t>
      </w:r>
      <w:r w:rsidR="00623901" w:rsidRPr="00623901">
        <w:t>’</w:t>
      </w:r>
      <w:r w:rsidRPr="00623901">
        <w:t>ordonnance de classement du 5 novembre 2009 en exposant que les coûts de la procédure étaient trop élevés et qu</w:t>
      </w:r>
      <w:r w:rsidR="00623901" w:rsidRPr="00623901">
        <w:t>’</w:t>
      </w:r>
      <w:r w:rsidRPr="00623901">
        <w:t>à ses yeux ce recours était de toute manière voué à l</w:t>
      </w:r>
      <w:r w:rsidR="00623901" w:rsidRPr="00623901">
        <w:t>’</w:t>
      </w:r>
      <w:r w:rsidRPr="00623901">
        <w:t>échec en raison de l</w:t>
      </w:r>
      <w:r w:rsidR="00623901" w:rsidRPr="00623901">
        <w:t>’</w:t>
      </w:r>
      <w:r w:rsidRPr="00623901">
        <w:t>imminence de la prescription des faits délictueux.</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21</w:t>
      </w:r>
      <w:r w:rsidRPr="00623901">
        <w:fldChar w:fldCharType="end"/>
      </w:r>
      <w:r w:rsidRPr="00623901">
        <w:t>.  Quant au remède civil, il soutient qu</w:t>
      </w:r>
      <w:r w:rsidR="00623901" w:rsidRPr="00623901">
        <w:t>’</w:t>
      </w:r>
      <w:r w:rsidRPr="00623901">
        <w:t>un recours en réparation semble dépourvu de perspectives raisonnables de succès en l</w:t>
      </w:r>
      <w:r w:rsidR="00623901" w:rsidRPr="00623901">
        <w:t>’</w:t>
      </w:r>
      <w:r w:rsidRPr="00623901">
        <w:t>absence d</w:t>
      </w:r>
      <w:r w:rsidR="00623901" w:rsidRPr="00623901">
        <w:t>’</w:t>
      </w:r>
      <w:r w:rsidRPr="00623901">
        <w:t>une décision préalable du juge pénal.</w:t>
      </w:r>
    </w:p>
    <w:p w:rsidR="00936DC0" w:rsidRPr="00623901" w:rsidRDefault="00936DC0" w:rsidP="00623901">
      <w:pPr>
        <w:pStyle w:val="JuHA"/>
        <w:numPr>
          <w:ilvl w:val="0"/>
          <w:numId w:val="0"/>
        </w:numPr>
        <w:ind w:left="584" w:hanging="300"/>
      </w:pPr>
      <w:r w:rsidRPr="00623901">
        <w:t>B.</w:t>
      </w:r>
      <w:r w:rsidRPr="00623901">
        <w:tab/>
        <w:t>Appréciation de la Cour</w:t>
      </w:r>
    </w:p>
    <w:p w:rsidR="00936DC0" w:rsidRPr="00623901" w:rsidRDefault="00936DC0" w:rsidP="00623901">
      <w:pPr>
        <w:pStyle w:val="JuH1"/>
        <w:numPr>
          <w:ilvl w:val="3"/>
          <w:numId w:val="1"/>
        </w:numPr>
      </w:pPr>
      <w:r w:rsidRPr="00623901">
        <w:t>Sur l</w:t>
      </w:r>
      <w:r w:rsidR="00623901" w:rsidRPr="00623901">
        <w:t>’</w:t>
      </w:r>
      <w:r w:rsidRPr="00623901">
        <w:t>applicabilité de l</w:t>
      </w:r>
      <w:r w:rsidR="00623901" w:rsidRPr="00623901">
        <w:t>’</w:t>
      </w:r>
      <w:r w:rsidRPr="00623901">
        <w:t>article 6</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22</w:t>
      </w:r>
      <w:r w:rsidRPr="00623901">
        <w:fldChar w:fldCharType="end"/>
      </w:r>
      <w:r w:rsidRPr="00623901">
        <w:t>.  Selon la jurisprudence de la Cour, la Convention ne reconnaît pas en soi le droit de faire poursuivre ou condamner pénalement des tiers. Pour entrer dans le champ de la Convention, ce droit doit impérativement aller de pair avec l</w:t>
      </w:r>
      <w:r w:rsidR="00623901" w:rsidRPr="00623901">
        <w:t>’</w:t>
      </w:r>
      <w:r w:rsidRPr="00623901">
        <w:t>exercice par la victime de son droit d</w:t>
      </w:r>
      <w:r w:rsidR="00623901" w:rsidRPr="00623901">
        <w:t>’</w:t>
      </w:r>
      <w:r w:rsidRPr="00623901">
        <w:t>intenter l</w:t>
      </w:r>
      <w:r w:rsidR="00623901" w:rsidRPr="00623901">
        <w:t>’</w:t>
      </w:r>
      <w:r w:rsidRPr="00623901">
        <w:t>action, par nature civile, offerte par le droit interne, ne serait-ce qu</w:t>
      </w:r>
      <w:r w:rsidR="00623901" w:rsidRPr="00623901">
        <w:t>’</w:t>
      </w:r>
      <w:r w:rsidRPr="00623901">
        <w:t>en vue de l</w:t>
      </w:r>
      <w:r w:rsidR="00623901" w:rsidRPr="00623901">
        <w:t>’</w:t>
      </w:r>
      <w:r w:rsidRPr="00623901">
        <w:t>obtention d</w:t>
      </w:r>
      <w:r w:rsidR="00623901" w:rsidRPr="00623901">
        <w:t>’</w:t>
      </w:r>
      <w:r w:rsidRPr="00623901">
        <w:t>une réparation symbolique ou de la protection d</w:t>
      </w:r>
      <w:r w:rsidR="00623901" w:rsidRPr="00623901">
        <w:t>’</w:t>
      </w:r>
      <w:r w:rsidRPr="00623901">
        <w:t>un droit de caractère civil, à l</w:t>
      </w:r>
      <w:r w:rsidR="00623901" w:rsidRPr="00623901">
        <w:t>’</w:t>
      </w:r>
      <w:r w:rsidRPr="00623901">
        <w:t>instar par exemple du droit de jouir d</w:t>
      </w:r>
      <w:r w:rsidR="00623901" w:rsidRPr="00623901">
        <w:t>’</w:t>
      </w:r>
      <w:r w:rsidRPr="00623901">
        <w:t>une « bonne réputation ». Dès lors, l</w:t>
      </w:r>
      <w:r w:rsidR="00623901" w:rsidRPr="00623901">
        <w:t>’</w:t>
      </w:r>
      <w:r w:rsidRPr="00623901">
        <w:t>article 6 § 1 de la Convention s</w:t>
      </w:r>
      <w:r w:rsidR="00623901" w:rsidRPr="00623901">
        <w:t>’</w:t>
      </w:r>
      <w:r w:rsidRPr="00623901">
        <w:t>applique aux procédures relatives aux plaintes avec constitution de partie civile dès l</w:t>
      </w:r>
      <w:r w:rsidR="00623901" w:rsidRPr="00623901">
        <w:t>’</w:t>
      </w:r>
      <w:r w:rsidRPr="00623901">
        <w:t>acte de constitution de partie civile, à moins que la victime ait renoncé de manière non équivoque à l</w:t>
      </w:r>
      <w:r w:rsidR="00623901" w:rsidRPr="00623901">
        <w:t>’</w:t>
      </w:r>
      <w:r w:rsidRPr="00623901">
        <w:t>exercice de son droit à réparation (</w:t>
      </w:r>
      <w:r w:rsidRPr="00623901">
        <w:rPr>
          <w:i/>
        </w:rPr>
        <w:t>Perez c. France</w:t>
      </w:r>
      <w:r w:rsidRPr="00623901">
        <w:t xml:space="preserve"> [GC], n</w:t>
      </w:r>
      <w:r w:rsidRPr="00623901">
        <w:rPr>
          <w:vertAlign w:val="superscript"/>
        </w:rPr>
        <w:t>o </w:t>
      </w:r>
      <w:r w:rsidRPr="00623901">
        <w:t xml:space="preserve">47287/99, §§ 66-71, CEDH 2004-I, et </w:t>
      </w:r>
      <w:proofErr w:type="spellStart"/>
      <w:r w:rsidRPr="00623901">
        <w:rPr>
          <w:i/>
        </w:rPr>
        <w:t>Gorou</w:t>
      </w:r>
      <w:proofErr w:type="spellEnd"/>
      <w:r w:rsidRPr="00623901">
        <w:rPr>
          <w:i/>
        </w:rPr>
        <w:t xml:space="preserve"> c. Grèce</w:t>
      </w:r>
      <w:r w:rsidRPr="00623901">
        <w:t xml:space="preserve"> </w:t>
      </w:r>
      <w:r w:rsidRPr="00623901">
        <w:rPr>
          <w:i/>
        </w:rPr>
        <w:t>(n</w:t>
      </w:r>
      <w:r w:rsidRPr="00623901">
        <w:rPr>
          <w:i/>
          <w:vertAlign w:val="superscript"/>
        </w:rPr>
        <w:t>o</w:t>
      </w:r>
      <w:r w:rsidRPr="00623901">
        <w:rPr>
          <w:i/>
        </w:rPr>
        <w:t> 2)</w:t>
      </w:r>
      <w:r w:rsidRPr="00623901">
        <w:t xml:space="preserve"> [GC], n</w:t>
      </w:r>
      <w:r w:rsidRPr="00623901">
        <w:rPr>
          <w:vertAlign w:val="superscript"/>
        </w:rPr>
        <w:t>o </w:t>
      </w:r>
      <w:r w:rsidRPr="00623901">
        <w:t xml:space="preserve">12686/03, </w:t>
      </w:r>
      <w:r w:rsidR="00E66C3E" w:rsidRPr="00623901">
        <w:t>§§ 24</w:t>
      </w:r>
      <w:r w:rsidR="00E66C3E" w:rsidRPr="00623901">
        <w:noBreakHyphen/>
      </w:r>
      <w:r w:rsidRPr="00623901">
        <w:t>25, 20 mars 2009). De plus, la Cour a considéré cette disposition comme applicable à la partie lésée qui ne s</w:t>
      </w:r>
      <w:r w:rsidR="00623901" w:rsidRPr="00623901">
        <w:t>’</w:t>
      </w:r>
      <w:r w:rsidRPr="00623901">
        <w:t>est pas constituée partie civile, dès lors qu</w:t>
      </w:r>
      <w:r w:rsidR="00623901" w:rsidRPr="00623901">
        <w:t>’</w:t>
      </w:r>
      <w:r w:rsidRPr="00623901">
        <w:t>en droit italien, même avant l</w:t>
      </w:r>
      <w:r w:rsidR="00623901" w:rsidRPr="00623901">
        <w:t>’</w:t>
      </w:r>
      <w:r w:rsidRPr="00623901">
        <w:t>audience préliminaire où une telle constitution peut être présentée, la victime de l</w:t>
      </w:r>
      <w:r w:rsidR="00623901" w:rsidRPr="00623901">
        <w:t>’</w:t>
      </w:r>
      <w:r w:rsidRPr="00623901">
        <w:t>infraction peut exercer les droits et les facultés expressément reconnus par la loi (</w:t>
      </w:r>
      <w:proofErr w:type="spellStart"/>
      <w:r w:rsidRPr="00623901">
        <w:rPr>
          <w:i/>
        </w:rPr>
        <w:t>Sottani</w:t>
      </w:r>
      <w:proofErr w:type="spellEnd"/>
      <w:r w:rsidRPr="00623901">
        <w:rPr>
          <w:i/>
        </w:rPr>
        <w:t xml:space="preserve"> c. Italie</w:t>
      </w:r>
      <w:r w:rsidRPr="00623901">
        <w:t xml:space="preserve"> (déc.), n</w:t>
      </w:r>
      <w:r w:rsidRPr="00623901">
        <w:rPr>
          <w:vertAlign w:val="superscript"/>
        </w:rPr>
        <w:t>o</w:t>
      </w:r>
      <w:r w:rsidRPr="00623901">
        <w:t xml:space="preserve"> 26775/02, CEDH 2005-III (extraits), </w:t>
      </w:r>
      <w:r w:rsidRPr="004762BE">
        <w:rPr>
          <w:i/>
        </w:rPr>
        <w:t>Pa</w:t>
      </w:r>
      <w:r w:rsidR="00E66C3E" w:rsidRPr="004762BE">
        <w:rPr>
          <w:i/>
        </w:rPr>
        <w:t>trono, Cascini et Stefanelli c. </w:t>
      </w:r>
      <w:r w:rsidRPr="004762BE">
        <w:rPr>
          <w:i/>
        </w:rPr>
        <w:t>Italie</w:t>
      </w:r>
      <w:r w:rsidRPr="004762BE">
        <w:t>, n</w:t>
      </w:r>
      <w:r w:rsidRPr="004762BE">
        <w:rPr>
          <w:szCs w:val="24"/>
          <w:vertAlign w:val="superscript"/>
        </w:rPr>
        <w:t>o</w:t>
      </w:r>
      <w:r w:rsidRPr="004762BE">
        <w:t xml:space="preserve"> 10180/04, §§ 31-32, 20 avril 2006, et</w:t>
      </w:r>
      <w:r w:rsidRPr="00623901">
        <w:t xml:space="preserve"> </w:t>
      </w:r>
      <w:r w:rsidRPr="004762BE">
        <w:rPr>
          <w:i/>
          <w:iCs/>
        </w:rPr>
        <w:t>Arnoldi c. Italie</w:t>
      </w:r>
      <w:r w:rsidRPr="004762BE">
        <w:t xml:space="preserve">, </w:t>
      </w:r>
      <w:r w:rsidRPr="004762BE">
        <w:rPr>
          <w:lang w:eastAsia="en-GB"/>
        </w:rPr>
        <w:t>n</w:t>
      </w:r>
      <w:r w:rsidRPr="004762BE">
        <w:rPr>
          <w:vertAlign w:val="superscript"/>
          <w:lang w:eastAsia="en-GB"/>
        </w:rPr>
        <w:t>o </w:t>
      </w:r>
      <w:r w:rsidRPr="004762BE">
        <w:t>35637/04, 7 décembre 2017)</w:t>
      </w:r>
      <w:r w:rsidRPr="00623901">
        <w:t>.</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23</w:t>
      </w:r>
      <w:r w:rsidRPr="00623901">
        <w:fldChar w:fldCharType="end"/>
      </w:r>
      <w:r w:rsidRPr="00623901">
        <w:t>.  En l</w:t>
      </w:r>
      <w:r w:rsidR="00623901" w:rsidRPr="00623901">
        <w:t>’</w:t>
      </w:r>
      <w:r w:rsidRPr="00623901">
        <w:t>espèce, la Cour constate que la plainte du requérant visait à faire valoir un droit de caractère civil – à savoir le droit à la protection de sa réputation – dont il pouvait, de manière défendable, se prétendre titulaire. De plus, le requérant s</w:t>
      </w:r>
      <w:r w:rsidR="00623901" w:rsidRPr="00623901">
        <w:t>’</w:t>
      </w:r>
      <w:r w:rsidRPr="00623901">
        <w:t>étant activement prévalu des droits procéduraux qui lui étaient reconnus par la loi en tant que partie lésée, on ne saurait considérer qu</w:t>
      </w:r>
      <w:r w:rsidR="00623901" w:rsidRPr="00623901">
        <w:t>’</w:t>
      </w:r>
      <w:r w:rsidRPr="00623901">
        <w:t>il a renoncé à exercer son droit à réparation.</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24</w:t>
      </w:r>
      <w:r w:rsidRPr="00623901">
        <w:fldChar w:fldCharType="end"/>
      </w:r>
      <w:r w:rsidRPr="00623901">
        <w:t>.  L</w:t>
      </w:r>
      <w:r w:rsidR="00623901" w:rsidRPr="00623901">
        <w:t>’</w:t>
      </w:r>
      <w:r w:rsidRPr="00623901">
        <w:t>article 6 § 1 est donc applicable en l</w:t>
      </w:r>
      <w:r w:rsidR="00623901" w:rsidRPr="00623901">
        <w:t>’</w:t>
      </w:r>
      <w:r w:rsidRPr="00623901">
        <w:t>espèce sous son volet civil.</w:t>
      </w:r>
    </w:p>
    <w:p w:rsidR="00936DC0" w:rsidRPr="00623901" w:rsidRDefault="00936DC0" w:rsidP="00623901">
      <w:pPr>
        <w:pStyle w:val="JuH1"/>
        <w:numPr>
          <w:ilvl w:val="3"/>
          <w:numId w:val="1"/>
        </w:numPr>
      </w:pPr>
      <w:r w:rsidRPr="00623901">
        <w:t>Sur l</w:t>
      </w:r>
      <w:r w:rsidR="00623901" w:rsidRPr="00623901">
        <w:t>’</w:t>
      </w:r>
      <w:r w:rsidRPr="00623901">
        <w:t>épuisement des voies de recours internes</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25</w:t>
      </w:r>
      <w:r w:rsidRPr="00623901">
        <w:fldChar w:fldCharType="end"/>
      </w:r>
      <w:r w:rsidRPr="00623901">
        <w:t>.   La Cour rappelle que la finalité de la règle de l</w:t>
      </w:r>
      <w:r w:rsidR="00623901" w:rsidRPr="00623901">
        <w:t>’</w:t>
      </w:r>
      <w:r w:rsidRPr="00623901">
        <w:t>épuisement des voies de recours internes est de ménager aux États contractants l</w:t>
      </w:r>
      <w:r w:rsidR="00623901" w:rsidRPr="00623901">
        <w:t>’</w:t>
      </w:r>
      <w:r w:rsidRPr="00623901">
        <w:t>occasion de prévenir ou de redresser les violations alléguées contre eux avant qu</w:t>
      </w:r>
      <w:r w:rsidR="00623901" w:rsidRPr="00623901">
        <w:t>’</w:t>
      </w:r>
      <w:r w:rsidRPr="00623901">
        <w:t>elle n</w:t>
      </w:r>
      <w:r w:rsidR="00623901" w:rsidRPr="00623901">
        <w:t>’</w:t>
      </w:r>
      <w:r w:rsidRPr="00623901">
        <w:t>en soit saisie (voir, parmi d</w:t>
      </w:r>
      <w:r w:rsidR="00623901" w:rsidRPr="00623901">
        <w:t>’</w:t>
      </w:r>
      <w:r w:rsidRPr="00623901">
        <w:t xml:space="preserve">autres, </w:t>
      </w:r>
      <w:proofErr w:type="spellStart"/>
      <w:r w:rsidRPr="00623901">
        <w:rPr>
          <w:i/>
        </w:rPr>
        <w:t>Mifsud</w:t>
      </w:r>
      <w:proofErr w:type="spellEnd"/>
      <w:r w:rsidRPr="00623901">
        <w:rPr>
          <w:i/>
        </w:rPr>
        <w:t xml:space="preserve"> c. France</w:t>
      </w:r>
      <w:r w:rsidRPr="00623901">
        <w:t xml:space="preserve"> (déc.) [GC], n</w:t>
      </w:r>
      <w:r w:rsidRPr="00623901">
        <w:rPr>
          <w:vertAlign w:val="superscript"/>
        </w:rPr>
        <w:t>o </w:t>
      </w:r>
      <w:r w:rsidR="00E66C3E" w:rsidRPr="00623901">
        <w:t>57220/00, § </w:t>
      </w:r>
      <w:r w:rsidRPr="00623901">
        <w:t xml:space="preserve">15, CEDH 2002-VIII, et, plus récemment, </w:t>
      </w:r>
      <w:proofErr w:type="spellStart"/>
      <w:r w:rsidRPr="00623901">
        <w:rPr>
          <w:i/>
        </w:rPr>
        <w:t>Simons</w:t>
      </w:r>
      <w:proofErr w:type="spellEnd"/>
      <w:r w:rsidRPr="00623901">
        <w:rPr>
          <w:i/>
        </w:rPr>
        <w:t xml:space="preserve"> c. Belgique</w:t>
      </w:r>
      <w:r w:rsidRPr="00623901">
        <w:t xml:space="preserve"> (déc.), </w:t>
      </w:r>
      <w:proofErr w:type="gramStart"/>
      <w:r w:rsidRPr="00623901">
        <w:t>n</w:t>
      </w:r>
      <w:r w:rsidRPr="00623901">
        <w:rPr>
          <w:vertAlign w:val="superscript"/>
        </w:rPr>
        <w:t>o</w:t>
      </w:r>
      <w:r w:rsidRPr="00623901">
        <w:t xml:space="preserve"> </w:t>
      </w:r>
      <w:r w:rsidR="00E66C3E" w:rsidRPr="00623901">
        <w:t> </w:t>
      </w:r>
      <w:r w:rsidRPr="00623901">
        <w:t>71407</w:t>
      </w:r>
      <w:proofErr w:type="gramEnd"/>
      <w:r w:rsidRPr="00623901">
        <w:t>/10 § 23, 28 août 2012).</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26</w:t>
      </w:r>
      <w:r w:rsidRPr="00623901">
        <w:fldChar w:fldCharType="end"/>
      </w:r>
      <w:r w:rsidRPr="00623901">
        <w:t>.  L</w:t>
      </w:r>
      <w:r w:rsidR="00623901" w:rsidRPr="00623901">
        <w:t>’</w:t>
      </w:r>
      <w:r w:rsidRPr="00623901">
        <w:t>article 35 § 1 de la Convention ne prescrit toutefois l</w:t>
      </w:r>
      <w:r w:rsidR="00623901" w:rsidRPr="00623901">
        <w:t>’</w:t>
      </w:r>
      <w:r w:rsidRPr="00623901">
        <w:t>épuisement que des recours à la fois relatifs aux violations incriminées, disponibles et adéquats. Un recours est effectif lorsqu</w:t>
      </w:r>
      <w:r w:rsidR="00623901" w:rsidRPr="00623901">
        <w:t>’</w:t>
      </w:r>
      <w:r w:rsidRPr="00623901">
        <w:t>il est disponible tant en théorie qu</w:t>
      </w:r>
      <w:r w:rsidR="00623901" w:rsidRPr="00623901">
        <w:t>’</w:t>
      </w:r>
      <w:r w:rsidRPr="00623901">
        <w:t>en pratique à l</w:t>
      </w:r>
      <w:r w:rsidR="00623901" w:rsidRPr="00623901">
        <w:t>’</w:t>
      </w:r>
      <w:r w:rsidRPr="00623901">
        <w:t>époque des faits, c</w:t>
      </w:r>
      <w:r w:rsidR="00623901" w:rsidRPr="00623901">
        <w:t>’</w:t>
      </w:r>
      <w:r w:rsidRPr="00623901">
        <w:t>est-à-dire lorsqu</w:t>
      </w:r>
      <w:r w:rsidR="00623901" w:rsidRPr="00623901">
        <w:t>’</w:t>
      </w:r>
      <w:r w:rsidRPr="00623901">
        <w:t>il est accessible, est susceptible d</w:t>
      </w:r>
      <w:r w:rsidR="00623901" w:rsidRPr="00623901">
        <w:t>’</w:t>
      </w:r>
      <w:r w:rsidRPr="00623901">
        <w:t>offrir au requérant le redressement de ses griefs et présente des perspectives raisonnables de succès. À cet égard, le simple fait de nourrir des doutes quant aux perspectives de succès d</w:t>
      </w:r>
      <w:r w:rsidR="00623901" w:rsidRPr="00623901">
        <w:t>’</w:t>
      </w:r>
      <w:r w:rsidRPr="00623901">
        <w:t>un recours donné qui n</w:t>
      </w:r>
      <w:r w:rsidR="00623901" w:rsidRPr="00623901">
        <w:t>’</w:t>
      </w:r>
      <w:r w:rsidRPr="00623901">
        <w:t>est pas de toute évidence voué à l</w:t>
      </w:r>
      <w:r w:rsidR="00623901" w:rsidRPr="00623901">
        <w:t>’</w:t>
      </w:r>
      <w:r w:rsidRPr="00623901">
        <w:t>échec ne constitue pas une raison valable pour justifier la non-utilisation de recours internes (</w:t>
      </w:r>
      <w:proofErr w:type="spellStart"/>
      <w:r w:rsidRPr="00623901">
        <w:rPr>
          <w:i/>
        </w:rPr>
        <w:t>Brusco</w:t>
      </w:r>
      <w:proofErr w:type="spellEnd"/>
      <w:r w:rsidRPr="00623901">
        <w:rPr>
          <w:i/>
        </w:rPr>
        <w:t xml:space="preserve"> c. Italie</w:t>
      </w:r>
      <w:r w:rsidRPr="00623901">
        <w:t xml:space="preserve"> (déc.), n</w:t>
      </w:r>
      <w:r w:rsidRPr="00623901">
        <w:rPr>
          <w:vertAlign w:val="superscript"/>
        </w:rPr>
        <w:t>o</w:t>
      </w:r>
      <w:r w:rsidR="00E66C3E" w:rsidRPr="00623901">
        <w:t> </w:t>
      </w:r>
      <w:r w:rsidRPr="00623901">
        <w:t xml:space="preserve">69789/01, CEDH 2001-IX, </w:t>
      </w:r>
      <w:r w:rsidRPr="00623901">
        <w:rPr>
          <w:i/>
        </w:rPr>
        <w:t xml:space="preserve">Sardinas </w:t>
      </w:r>
      <w:proofErr w:type="spellStart"/>
      <w:r w:rsidRPr="00623901">
        <w:rPr>
          <w:i/>
        </w:rPr>
        <w:t>Albo</w:t>
      </w:r>
      <w:proofErr w:type="spellEnd"/>
      <w:r w:rsidRPr="00623901">
        <w:rPr>
          <w:i/>
        </w:rPr>
        <w:t xml:space="preserve"> c. Italie</w:t>
      </w:r>
      <w:r w:rsidRPr="00623901">
        <w:t xml:space="preserve"> (déc.), n</w:t>
      </w:r>
      <w:r w:rsidRPr="00623901">
        <w:rPr>
          <w:vertAlign w:val="superscript"/>
        </w:rPr>
        <w:t>o</w:t>
      </w:r>
      <w:r w:rsidRPr="00623901">
        <w:t xml:space="preserve"> 56271/00, CEDH 2004-I (extraits), </w:t>
      </w:r>
      <w:proofErr w:type="spellStart"/>
      <w:r w:rsidRPr="00623901">
        <w:rPr>
          <w:i/>
        </w:rPr>
        <w:t>Sejdovic</w:t>
      </w:r>
      <w:proofErr w:type="spellEnd"/>
      <w:r w:rsidRPr="00623901">
        <w:rPr>
          <w:i/>
        </w:rPr>
        <w:t xml:space="preserve"> c. Italie</w:t>
      </w:r>
      <w:r w:rsidRPr="00623901">
        <w:t xml:space="preserve"> [GC], n</w:t>
      </w:r>
      <w:r w:rsidRPr="00623901">
        <w:rPr>
          <w:vertAlign w:val="superscript"/>
        </w:rPr>
        <w:t>o </w:t>
      </w:r>
      <w:r w:rsidRPr="00623901">
        <w:t xml:space="preserve">56581/00, § 46, CEDH 2006-II, et </w:t>
      </w:r>
      <w:r w:rsidRPr="00623901">
        <w:rPr>
          <w:i/>
        </w:rPr>
        <w:t xml:space="preserve">Alberto </w:t>
      </w:r>
      <w:proofErr w:type="spellStart"/>
      <w:r w:rsidRPr="00623901">
        <w:rPr>
          <w:i/>
        </w:rPr>
        <w:t>Eugénio</w:t>
      </w:r>
      <w:proofErr w:type="spellEnd"/>
      <w:r w:rsidRPr="00623901">
        <w:rPr>
          <w:i/>
        </w:rPr>
        <w:t xml:space="preserve"> da </w:t>
      </w:r>
      <w:proofErr w:type="spellStart"/>
      <w:r w:rsidRPr="00623901">
        <w:rPr>
          <w:i/>
        </w:rPr>
        <w:t>Conceição</w:t>
      </w:r>
      <w:proofErr w:type="spellEnd"/>
      <w:r w:rsidRPr="00623901">
        <w:rPr>
          <w:i/>
        </w:rPr>
        <w:t xml:space="preserve"> c. Portugal</w:t>
      </w:r>
      <w:r w:rsidRPr="00623901">
        <w:t xml:space="preserve"> (déc.), n</w:t>
      </w:r>
      <w:r w:rsidRPr="00623901">
        <w:rPr>
          <w:vertAlign w:val="superscript"/>
        </w:rPr>
        <w:t>o</w:t>
      </w:r>
      <w:r w:rsidR="008F5284" w:rsidRPr="00623901">
        <w:rPr>
          <w:vertAlign w:val="superscript"/>
        </w:rPr>
        <w:t> </w:t>
      </w:r>
      <w:r w:rsidR="00E66C3E" w:rsidRPr="00623901">
        <w:t>74044/11, 29 </w:t>
      </w:r>
      <w:r w:rsidRPr="00623901">
        <w:t>mai 2012).</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27</w:t>
      </w:r>
      <w:r w:rsidRPr="00623901">
        <w:fldChar w:fldCharType="end"/>
      </w:r>
      <w:r w:rsidRPr="00623901">
        <w:t>.  En l</w:t>
      </w:r>
      <w:r w:rsidR="00623901" w:rsidRPr="00623901">
        <w:t>’</w:t>
      </w:r>
      <w:r w:rsidRPr="00623901">
        <w:t>espèce, le Gouvernement soutient que le requérant aurait dû soumettre ses doléances à la Cour de cassation. La Cour observe à cet égard que, conformément aux dispositions pertinentes du droit italien, toute décision prise par un juge qui s</w:t>
      </w:r>
      <w:r w:rsidR="00623901" w:rsidRPr="00623901">
        <w:t>’</w:t>
      </w:r>
      <w:r w:rsidRPr="00623901">
        <w:t>est abstenu ou qui a été récusé est entachée de nullité absolue et irrémédiable et que cette nullité peut être portée devant la Cour de cassation (paragraphes 12 et 13 ci-dessus). Il s</w:t>
      </w:r>
      <w:r w:rsidR="00623901" w:rsidRPr="00623901">
        <w:t>’</w:t>
      </w:r>
      <w:r w:rsidRPr="00623901">
        <w:t>ensuit qu</w:t>
      </w:r>
      <w:r w:rsidR="00623901" w:rsidRPr="00623901">
        <w:t>’</w:t>
      </w:r>
      <w:r w:rsidRPr="00623901">
        <w:t>un recours en cassation aurait permis au requérant d</w:t>
      </w:r>
      <w:r w:rsidR="00623901" w:rsidRPr="00623901">
        <w:t>’</w:t>
      </w:r>
      <w:r w:rsidRPr="00623901">
        <w:t>obtenir l</w:t>
      </w:r>
      <w:r w:rsidR="00623901" w:rsidRPr="00623901">
        <w:t>’</w:t>
      </w:r>
      <w:r w:rsidRPr="00623901">
        <w:t>annulation de l</w:t>
      </w:r>
      <w:r w:rsidR="00623901" w:rsidRPr="00623901">
        <w:t>’</w:t>
      </w:r>
      <w:r w:rsidRPr="00623901">
        <w:t>ordonnance du 5 novembre 2009, par laquelle le juge L.G. avait décidé, malgré sa déclaration d</w:t>
      </w:r>
      <w:r w:rsidR="00623901" w:rsidRPr="00623901">
        <w:t>’</w:t>
      </w:r>
      <w:r w:rsidRPr="00623901">
        <w:t>abstention acceptée le 18 novembre 2008, de déclarer l</w:t>
      </w:r>
      <w:r w:rsidR="00623901" w:rsidRPr="00623901">
        <w:t>’</w:t>
      </w:r>
      <w:r w:rsidRPr="00623901">
        <w:t xml:space="preserve">opposition du requérant irrecevable </w:t>
      </w:r>
      <w:r w:rsidRPr="00623901">
        <w:rPr>
          <w:i/>
        </w:rPr>
        <w:t>de plano</w:t>
      </w:r>
      <w:r w:rsidRPr="00623901">
        <w:t xml:space="preserve"> et de classer sans suite les poursuites.</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28</w:t>
      </w:r>
      <w:r w:rsidRPr="00623901">
        <w:fldChar w:fldCharType="end"/>
      </w:r>
      <w:r w:rsidRPr="00623901">
        <w:t>.  La Cour considère que cela aurait constitué un redressement approprié des griefs soulevés par le requérant devant elle.</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29</w:t>
      </w:r>
      <w:r w:rsidRPr="00623901">
        <w:fldChar w:fldCharType="end"/>
      </w:r>
      <w:r w:rsidRPr="00623901">
        <w:t>.  Le requérant ne prétend d</w:t>
      </w:r>
      <w:r w:rsidR="00623901" w:rsidRPr="00623901">
        <w:t>’</w:t>
      </w:r>
      <w:r w:rsidRPr="00623901">
        <w:t>ailleurs pas que le recours en cassation ne lui était pas accessible. Quant à l</w:t>
      </w:r>
      <w:r w:rsidR="00623901" w:rsidRPr="00623901">
        <w:t>’</w:t>
      </w:r>
      <w:r w:rsidRPr="00623901">
        <w:t>efficacité d</w:t>
      </w:r>
      <w:r w:rsidR="00623901" w:rsidRPr="00623901">
        <w:t>’</w:t>
      </w:r>
      <w:r w:rsidRPr="00623901">
        <w:t>un tel remède, il se borne à soutenir que les faits dénoncés étaient alors quasiment prescrits, sans toutefois préciser quel était le délai de prescription applicable en l</w:t>
      </w:r>
      <w:r w:rsidR="00623901" w:rsidRPr="00623901">
        <w:t>’</w:t>
      </w:r>
      <w:r w:rsidRPr="00623901">
        <w:t>espèce, ni expliquer dans quelle mesure cette circonstance aurait privé le remède en question de toute perspective raisonnable de succès. En outre, la Cour estime que l</w:t>
      </w:r>
      <w:r w:rsidR="00623901" w:rsidRPr="00623901">
        <w:t>’</w:t>
      </w:r>
      <w:r w:rsidRPr="00623901">
        <w:t>on ne saurait justifier le non-exercice du recours en cassation par le risque encouru par le requérant d</w:t>
      </w:r>
      <w:r w:rsidR="00623901" w:rsidRPr="00623901">
        <w:t>’</w:t>
      </w:r>
      <w:r w:rsidRPr="00623901">
        <w:t>être condamné au paiement des frais de procédure.</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30</w:t>
      </w:r>
      <w:r w:rsidRPr="00623901">
        <w:fldChar w:fldCharType="end"/>
      </w:r>
      <w:r w:rsidRPr="00623901">
        <w:t>.  Dans ces circonstances, elle considère que rien ne permet de penser qu</w:t>
      </w:r>
      <w:r w:rsidR="00623901" w:rsidRPr="00623901">
        <w:t>’</w:t>
      </w:r>
      <w:r w:rsidRPr="00623901">
        <w:t>un recours en cassation n</w:t>
      </w:r>
      <w:r w:rsidR="00623901" w:rsidRPr="00623901">
        <w:t>’</w:t>
      </w:r>
      <w:r w:rsidRPr="00623901">
        <w:t>aurait pas offert à l</w:t>
      </w:r>
      <w:r w:rsidR="00623901" w:rsidRPr="00623901">
        <w:t>’</w:t>
      </w:r>
      <w:r w:rsidRPr="00623901">
        <w:t>intéressé la possibilité de faire redresser ses griefs, ou que ce recours n</w:t>
      </w:r>
      <w:r w:rsidR="00623901" w:rsidRPr="00623901">
        <w:t>’</w:t>
      </w:r>
      <w:r w:rsidRPr="00623901">
        <w:t>aurait présenté aucune perspective raisonnable de succès. En conclusion, elle estime que le requérant n</w:t>
      </w:r>
      <w:r w:rsidR="00623901" w:rsidRPr="00623901">
        <w:t>’</w:t>
      </w:r>
      <w:r w:rsidRPr="00623901">
        <w:t>a pas donné aux juridictions nationales l</w:t>
      </w:r>
      <w:r w:rsidR="00623901" w:rsidRPr="00623901">
        <w:t>’</w:t>
      </w:r>
      <w:r w:rsidRPr="00623901">
        <w:t>occasion de prévenir ou redresser dans leur ordre juridique interne les violations de la Convention.</w:t>
      </w:r>
    </w:p>
    <w:p w:rsidR="00936DC0" w:rsidRPr="00623901" w:rsidRDefault="00936DC0" w:rsidP="00623901">
      <w:pPr>
        <w:pStyle w:val="JuPara"/>
      </w:pPr>
      <w:r w:rsidRPr="00623901">
        <w:fldChar w:fldCharType="begin"/>
      </w:r>
      <w:r w:rsidRPr="00623901">
        <w:instrText xml:space="preserve"> SEQ level0 \*arabic </w:instrText>
      </w:r>
      <w:r w:rsidRPr="00623901">
        <w:fldChar w:fldCharType="separate"/>
      </w:r>
      <w:r w:rsidR="00623901" w:rsidRPr="00623901">
        <w:rPr>
          <w:noProof/>
        </w:rPr>
        <w:t>31</w:t>
      </w:r>
      <w:r w:rsidRPr="00623901">
        <w:fldChar w:fldCharType="end"/>
      </w:r>
      <w:r w:rsidRPr="00623901">
        <w:t>.  La Cour accueille donc l</w:t>
      </w:r>
      <w:r w:rsidR="00623901" w:rsidRPr="00623901">
        <w:t>’</w:t>
      </w:r>
      <w:r w:rsidRPr="00623901">
        <w:t>exception de non-épuisement des voies de recours internes soulevée par le Gouvernement et rejette la requête, en application de l</w:t>
      </w:r>
      <w:r w:rsidR="00623901" w:rsidRPr="00623901">
        <w:t>’</w:t>
      </w:r>
      <w:r w:rsidRPr="00623901">
        <w:t>article 35 §§ 1 et 4 de la Convention.</w:t>
      </w:r>
    </w:p>
    <w:p w:rsidR="00936DC0" w:rsidRPr="00623901" w:rsidRDefault="00936DC0" w:rsidP="00623901">
      <w:pPr>
        <w:pStyle w:val="JuParaLast"/>
      </w:pPr>
      <w:r w:rsidRPr="00623901">
        <w:t>Par ces motifs, la Cour, à l</w:t>
      </w:r>
      <w:r w:rsidR="00623901" w:rsidRPr="00623901">
        <w:t>’</w:t>
      </w:r>
      <w:r w:rsidRPr="00623901">
        <w:t>unanimité,</w:t>
      </w:r>
    </w:p>
    <w:p w:rsidR="00936DC0" w:rsidRPr="00623901" w:rsidRDefault="00936DC0" w:rsidP="00623901">
      <w:pPr>
        <w:pStyle w:val="DecList"/>
      </w:pPr>
      <w:r w:rsidRPr="00623901">
        <w:rPr>
          <w:i/>
        </w:rPr>
        <w:t>Déclare</w:t>
      </w:r>
      <w:r w:rsidRPr="00623901">
        <w:t xml:space="preserve"> la requête irrecevable.</w:t>
      </w:r>
    </w:p>
    <w:p w:rsidR="00050A32" w:rsidRPr="00623901" w:rsidRDefault="00F40988" w:rsidP="00623901">
      <w:pPr>
        <w:pStyle w:val="JuParaLast"/>
        <w:rPr>
          <w:sz w:val="14"/>
        </w:rPr>
      </w:pPr>
      <w:r w:rsidRPr="00623901">
        <w:rPr>
          <w:szCs w:val="24"/>
        </w:rPr>
        <w:t xml:space="preserve">Fait en français puis communiqué par écrit le </w:t>
      </w:r>
      <w:r w:rsidR="00F43C0A" w:rsidRPr="00623901">
        <w:rPr>
          <w:szCs w:val="24"/>
        </w:rPr>
        <w:t>26 mars</w:t>
      </w:r>
      <w:r w:rsidR="00936DC0" w:rsidRPr="00623901">
        <w:rPr>
          <w:szCs w:val="24"/>
        </w:rPr>
        <w:t xml:space="preserve"> 2020</w:t>
      </w:r>
      <w:r w:rsidRPr="00623901">
        <w:t>.</w:t>
      </w:r>
    </w:p>
    <w:p w:rsidR="0091478F" w:rsidRPr="00623901" w:rsidRDefault="00833C75" w:rsidP="00623901">
      <w:pPr>
        <w:pStyle w:val="JuSigned"/>
        <w:tabs>
          <w:tab w:val="clear" w:pos="851"/>
          <w:tab w:val="clear" w:pos="6407"/>
          <w:tab w:val="center" w:pos="993"/>
          <w:tab w:val="center" w:pos="6663"/>
        </w:tabs>
      </w:pPr>
      <w:r w:rsidRPr="00623901">
        <w:tab/>
        <w:t xml:space="preserve">Renata </w:t>
      </w:r>
      <w:proofErr w:type="spellStart"/>
      <w:r w:rsidRPr="00623901">
        <w:t>Degener</w:t>
      </w:r>
      <w:proofErr w:type="spellEnd"/>
      <w:r w:rsidRPr="00623901">
        <w:tab/>
        <w:t xml:space="preserve">Tim </w:t>
      </w:r>
      <w:proofErr w:type="spellStart"/>
      <w:r w:rsidRPr="00623901">
        <w:t>Eicke</w:t>
      </w:r>
      <w:proofErr w:type="spellEnd"/>
      <w:r w:rsidRPr="00623901">
        <w:br/>
      </w:r>
      <w:r w:rsidRPr="00623901">
        <w:tab/>
        <w:t>Greffière adjointe</w:t>
      </w:r>
      <w:r w:rsidRPr="00623901">
        <w:tab/>
      </w:r>
      <w:r w:rsidRPr="00623901">
        <w:rPr>
          <w:szCs w:val="24"/>
        </w:rPr>
        <w:t>P</w:t>
      </w:r>
      <w:r w:rsidRPr="00623901">
        <w:t>résident</w:t>
      </w:r>
    </w:p>
    <w:p w:rsidR="00E66C3E" w:rsidRPr="00623901" w:rsidRDefault="00E66C3E" w:rsidP="00623901">
      <w:pPr>
        <w:pStyle w:val="JuPara"/>
      </w:pPr>
    </w:p>
    <w:sectPr w:rsidR="00E66C3E" w:rsidRPr="00623901" w:rsidSect="00AF7102">
      <w:headerReference w:type="even" r:id="rId11"/>
      <w:headerReference w:type="default" r:id="rId12"/>
      <w:headerReference w:type="first" r:id="rId13"/>
      <w:footerReference w:type="first" r:id="rId14"/>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DC0" w:rsidRPr="0071796B" w:rsidRDefault="00936DC0" w:rsidP="006544C4">
      <w:r w:rsidRPr="0071796B">
        <w:separator/>
      </w:r>
    </w:p>
  </w:endnote>
  <w:endnote w:type="continuationSeparator" w:id="0">
    <w:p w:rsidR="00936DC0" w:rsidRPr="0071796B" w:rsidRDefault="00936DC0" w:rsidP="006544C4">
      <w:r w:rsidRPr="0071796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C0" w:rsidRPr="00150BFA" w:rsidRDefault="00936DC0" w:rsidP="0020718E">
    <w:pPr>
      <w:jc w:val="center"/>
    </w:pPr>
    <w:r>
      <w:rPr>
        <w:noProof/>
        <w:lang w:val="it-IT" w:eastAsia="it-IT"/>
      </w:rPr>
      <w:drawing>
        <wp:inline distT="0" distB="0" distL="0" distR="0" wp14:anchorId="3B60C84D" wp14:editId="0AF1064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1796B" w:rsidRDefault="00993781"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DC0" w:rsidRPr="0071796B" w:rsidRDefault="00936DC0" w:rsidP="006544C4">
      <w:r w:rsidRPr="0071796B">
        <w:separator/>
      </w:r>
    </w:p>
  </w:footnote>
  <w:footnote w:type="continuationSeparator" w:id="0">
    <w:p w:rsidR="00936DC0" w:rsidRPr="0071796B" w:rsidRDefault="00936DC0" w:rsidP="006544C4">
      <w:r w:rsidRPr="0071796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839278309"/>
      <w:docPartObj>
        <w:docPartGallery w:val="Page Numbers (Top of Page)"/>
        <w:docPartUnique/>
      </w:docPartObj>
    </w:sdtPr>
    <w:sdtEndPr/>
    <w:sdtContent>
      <w:p w:rsidR="00803750" w:rsidRPr="00803750" w:rsidRDefault="00803750" w:rsidP="00803750">
        <w:pPr>
          <w:pStyle w:val="Intestazione"/>
          <w:tabs>
            <w:tab w:val="clear" w:pos="4536"/>
            <w:tab w:val="center" w:pos="3544"/>
          </w:tabs>
          <w:rPr>
            <w:rFonts w:cstheme="minorHAnsi"/>
            <w:sz w:val="18"/>
            <w:szCs w:val="18"/>
            <w:lang w:val="en-GB"/>
          </w:rPr>
        </w:pPr>
        <w:r w:rsidRPr="00803750">
          <w:rPr>
            <w:rFonts w:cstheme="minorHAnsi"/>
            <w:sz w:val="18"/>
            <w:szCs w:val="18"/>
          </w:rPr>
          <w:fldChar w:fldCharType="begin"/>
        </w:r>
        <w:r w:rsidRPr="00803750">
          <w:rPr>
            <w:rFonts w:cstheme="minorHAnsi"/>
            <w:sz w:val="18"/>
            <w:szCs w:val="18"/>
          </w:rPr>
          <w:instrText xml:space="preserve"> PAGE </w:instrText>
        </w:r>
        <w:r w:rsidRPr="00803750">
          <w:rPr>
            <w:rFonts w:cstheme="minorHAnsi"/>
            <w:sz w:val="18"/>
            <w:szCs w:val="18"/>
          </w:rPr>
          <w:fldChar w:fldCharType="separate"/>
        </w:r>
        <w:r w:rsidR="00993781">
          <w:rPr>
            <w:rFonts w:cstheme="minorHAnsi"/>
            <w:noProof/>
            <w:sz w:val="18"/>
            <w:szCs w:val="18"/>
          </w:rPr>
          <w:t>6</w:t>
        </w:r>
        <w:r w:rsidRPr="00803750">
          <w:rPr>
            <w:rFonts w:cstheme="minorHAnsi"/>
            <w:sz w:val="18"/>
            <w:szCs w:val="18"/>
          </w:rPr>
          <w:fldChar w:fldCharType="end"/>
        </w:r>
        <w:r w:rsidRPr="00803750">
          <w:rPr>
            <w:rFonts w:cstheme="minorHAnsi"/>
            <w:sz w:val="18"/>
            <w:szCs w:val="18"/>
          </w:rPr>
          <w:tab/>
          <w:t>DÉCISION BRUNI c. ITALIE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812706122"/>
      <w:docPartObj>
        <w:docPartGallery w:val="Page Numbers (Top of Page)"/>
        <w:docPartUnique/>
      </w:docPartObj>
    </w:sdtPr>
    <w:sdtEndPr/>
    <w:sdtContent>
      <w:p w:rsidR="003E21C7" w:rsidRPr="00803750" w:rsidRDefault="003E21C7" w:rsidP="003E21C7">
        <w:pPr>
          <w:pStyle w:val="Intestazione"/>
          <w:tabs>
            <w:tab w:val="clear" w:pos="4536"/>
            <w:tab w:val="clear" w:pos="9072"/>
            <w:tab w:val="center" w:pos="3544"/>
            <w:tab w:val="right" w:pos="7371"/>
          </w:tabs>
          <w:rPr>
            <w:rFonts w:cstheme="minorHAnsi"/>
            <w:sz w:val="18"/>
            <w:szCs w:val="18"/>
            <w:lang w:val="en-GB"/>
          </w:rPr>
        </w:pPr>
        <w:r w:rsidRPr="00803750">
          <w:rPr>
            <w:rFonts w:cstheme="minorHAnsi"/>
            <w:sz w:val="18"/>
            <w:szCs w:val="18"/>
          </w:rPr>
          <w:tab/>
          <w:t>DÉCISION BRUNI c. ITALIE</w:t>
        </w:r>
        <w:r>
          <w:rPr>
            <w:rFonts w:cstheme="minorHAnsi"/>
            <w:sz w:val="18"/>
            <w:szCs w:val="18"/>
          </w:rPr>
          <w:tab/>
        </w:r>
        <w:r w:rsidRPr="00803750">
          <w:rPr>
            <w:rFonts w:cstheme="minorHAnsi"/>
            <w:sz w:val="18"/>
            <w:szCs w:val="18"/>
          </w:rPr>
          <w:fldChar w:fldCharType="begin"/>
        </w:r>
        <w:r w:rsidRPr="00803750">
          <w:rPr>
            <w:rFonts w:cstheme="minorHAnsi"/>
            <w:sz w:val="18"/>
            <w:szCs w:val="18"/>
          </w:rPr>
          <w:instrText xml:space="preserve"> PAGE </w:instrText>
        </w:r>
        <w:r w:rsidRPr="00803750">
          <w:rPr>
            <w:rFonts w:cstheme="minorHAnsi"/>
            <w:sz w:val="18"/>
            <w:szCs w:val="18"/>
          </w:rPr>
          <w:fldChar w:fldCharType="separate"/>
        </w:r>
        <w:r w:rsidR="00993781">
          <w:rPr>
            <w:rFonts w:cstheme="minorHAnsi"/>
            <w:noProof/>
            <w:sz w:val="18"/>
            <w:szCs w:val="18"/>
          </w:rPr>
          <w:t>5</w:t>
        </w:r>
        <w:r w:rsidRPr="00803750">
          <w:rPr>
            <w:rFonts w:cstheme="minorHAnsi"/>
            <w:sz w:val="18"/>
            <w:szCs w:val="18"/>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DC0" w:rsidRPr="00A45145" w:rsidRDefault="00936DC0" w:rsidP="00A45145">
    <w:pPr>
      <w:jc w:val="center"/>
    </w:pPr>
    <w:r>
      <w:rPr>
        <w:noProof/>
        <w:lang w:val="it-IT" w:eastAsia="it-IT"/>
      </w:rPr>
      <w:drawing>
        <wp:inline distT="0" distB="0" distL="0" distR="0" wp14:anchorId="41A254EE" wp14:editId="0BA1059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1796B" w:rsidRDefault="00993781"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2"/>
  </w:num>
  <w:num w:numId="28">
    <w:abstractNumId w:val="12"/>
  </w:num>
  <w:num w:numId="29">
    <w:abstractNumId w:val="12"/>
  </w:num>
  <w:num w:numId="30">
    <w:abstractNumId w:val="13"/>
  </w:num>
  <w:num w:numId="31">
    <w:abstractNumId w:val="10"/>
  </w:num>
  <w:num w:numId="32">
    <w:abstractNumId w:val="9"/>
  </w:num>
  <w:num w:numId="33">
    <w:abstractNumId w:val="14"/>
  </w:num>
  <w:num w:numId="34">
    <w:abstractNumId w:val="11"/>
  </w:num>
  <w:num w:numId="35">
    <w:abstractNumId w:val="15"/>
  </w:num>
  <w:num w:numId="36">
    <w:abstractNumId w:val="17"/>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936DC0"/>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21C7"/>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4FDF"/>
    <w:rsid w:val="004762BE"/>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5F675D"/>
    <w:rsid w:val="00611C80"/>
    <w:rsid w:val="00620692"/>
    <w:rsid w:val="00623901"/>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261"/>
    <w:rsid w:val="007C0695"/>
    <w:rsid w:val="007C419A"/>
    <w:rsid w:val="007C4CC8"/>
    <w:rsid w:val="007C5426"/>
    <w:rsid w:val="007C5798"/>
    <w:rsid w:val="007D4832"/>
    <w:rsid w:val="007D7219"/>
    <w:rsid w:val="007E21B2"/>
    <w:rsid w:val="007E2C4E"/>
    <w:rsid w:val="007F1905"/>
    <w:rsid w:val="00801300"/>
    <w:rsid w:val="00802C64"/>
    <w:rsid w:val="00803750"/>
    <w:rsid w:val="00805E52"/>
    <w:rsid w:val="008061D0"/>
    <w:rsid w:val="00810B38"/>
    <w:rsid w:val="008204C7"/>
    <w:rsid w:val="00820992"/>
    <w:rsid w:val="00823602"/>
    <w:rsid w:val="008255F5"/>
    <w:rsid w:val="0083014E"/>
    <w:rsid w:val="0083214A"/>
    <w:rsid w:val="00833C75"/>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8F5284"/>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36DC0"/>
    <w:rsid w:val="00941747"/>
    <w:rsid w:val="0094178F"/>
    <w:rsid w:val="00941EFB"/>
    <w:rsid w:val="00947AFB"/>
    <w:rsid w:val="00951D7D"/>
    <w:rsid w:val="009630C7"/>
    <w:rsid w:val="00972B55"/>
    <w:rsid w:val="009743B7"/>
    <w:rsid w:val="00977DA8"/>
    <w:rsid w:val="0098228B"/>
    <w:rsid w:val="009828DA"/>
    <w:rsid w:val="00985BAB"/>
    <w:rsid w:val="00986416"/>
    <w:rsid w:val="00993781"/>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A7FC5"/>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4B"/>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66C3E"/>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227B"/>
    <w:rsid w:val="00F266A2"/>
    <w:rsid w:val="00F32269"/>
    <w:rsid w:val="00F32638"/>
    <w:rsid w:val="00F40988"/>
    <w:rsid w:val="00F43C0A"/>
    <w:rsid w:val="00F56A6F"/>
    <w:rsid w:val="00F5709C"/>
    <w:rsid w:val="00F64EF1"/>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48"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B64E0"/>
    <w:pPr>
      <w:jc w:val="both"/>
    </w:pPr>
    <w:rPr>
      <w:rFonts w:eastAsiaTheme="minorEastAsia"/>
      <w:sz w:val="24"/>
      <w:lang w:val="fr-FR"/>
    </w:rPr>
  </w:style>
  <w:style w:type="paragraph" w:styleId="Titolo1">
    <w:name w:val="heading 1"/>
    <w:basedOn w:val="Normale"/>
    <w:next w:val="Normale"/>
    <w:link w:val="Titolo1Carattere"/>
    <w:uiPriority w:val="99"/>
    <w:semiHidden/>
    <w:rsid w:val="002D609F"/>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2D609F"/>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2D609F"/>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2D609F"/>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2D609F"/>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2D609F"/>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2D609F"/>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2D609F"/>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2D609F"/>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D60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609F"/>
    <w:rPr>
      <w:rFonts w:ascii="Tahoma" w:eastAsiaTheme="minorEastAsia" w:hAnsi="Tahoma" w:cs="Tahoma"/>
      <w:sz w:val="16"/>
      <w:szCs w:val="16"/>
      <w:lang w:val="fr-FR"/>
    </w:rPr>
  </w:style>
  <w:style w:type="character" w:styleId="Titolodellibro">
    <w:name w:val="Book Title"/>
    <w:uiPriority w:val="99"/>
    <w:semiHidden/>
    <w:qFormat/>
    <w:rsid w:val="002D609F"/>
    <w:rPr>
      <w:i/>
      <w:iCs/>
      <w:smallCaps/>
      <w:spacing w:val="5"/>
    </w:rPr>
  </w:style>
  <w:style w:type="paragraph" w:customStyle="1" w:styleId="JuHeader">
    <w:name w:val="Ju_Header"/>
    <w:aliases w:val="_Header"/>
    <w:basedOn w:val="Intestazione"/>
    <w:uiPriority w:val="29"/>
    <w:qFormat/>
    <w:rsid w:val="00FB64E0"/>
    <w:pPr>
      <w:tabs>
        <w:tab w:val="clear" w:pos="4536"/>
        <w:tab w:val="clear" w:pos="9072"/>
      </w:tabs>
      <w:jc w:val="center"/>
    </w:pPr>
    <w:rPr>
      <w:sz w:val="18"/>
      <w:szCs w:val="24"/>
    </w:rPr>
  </w:style>
  <w:style w:type="paragraph" w:customStyle="1" w:styleId="NormalJustified">
    <w:name w:val="Normal_Justified"/>
    <w:basedOn w:val="Normale"/>
    <w:semiHidden/>
    <w:rsid w:val="002D609F"/>
  </w:style>
  <w:style w:type="character" w:styleId="Enfasigrassetto">
    <w:name w:val="Strong"/>
    <w:uiPriority w:val="99"/>
    <w:semiHidden/>
    <w:qFormat/>
    <w:rsid w:val="002D609F"/>
    <w:rPr>
      <w:b/>
      <w:bCs/>
    </w:rPr>
  </w:style>
  <w:style w:type="paragraph" w:styleId="Nessunaspaziatura">
    <w:name w:val="No Spacing"/>
    <w:basedOn w:val="Normale"/>
    <w:link w:val="NessunaspaziaturaCarattere"/>
    <w:semiHidden/>
    <w:qFormat/>
    <w:rsid w:val="002D609F"/>
  </w:style>
  <w:style w:type="character" w:customStyle="1" w:styleId="NessunaspaziaturaCarattere">
    <w:name w:val="Nessuna spaziatura Carattere"/>
    <w:basedOn w:val="Carpredefinitoparagrafo"/>
    <w:link w:val="Nessunaspaziatura"/>
    <w:semiHidden/>
    <w:rsid w:val="002D609F"/>
    <w:rPr>
      <w:rFonts w:eastAsiaTheme="minorEastAsia"/>
      <w:sz w:val="24"/>
      <w:lang w:val="fr-FR"/>
    </w:rPr>
  </w:style>
  <w:style w:type="paragraph" w:customStyle="1" w:styleId="DecList">
    <w:name w:val="Dec_List"/>
    <w:aliases w:val="_List"/>
    <w:basedOn w:val="JuList"/>
    <w:uiPriority w:val="22"/>
    <w:rsid w:val="00474FDF"/>
    <w:pPr>
      <w:numPr>
        <w:numId w:val="0"/>
      </w:numPr>
      <w:ind w:left="284"/>
    </w:pPr>
  </w:style>
  <w:style w:type="paragraph" w:customStyle="1" w:styleId="JuQuot">
    <w:name w:val="Ju_Quot"/>
    <w:aliases w:val="_Quote"/>
    <w:basedOn w:val="NormalJustified"/>
    <w:uiPriority w:val="21"/>
    <w:qFormat/>
    <w:rsid w:val="002D609F"/>
    <w:pPr>
      <w:spacing w:before="120" w:after="120"/>
      <w:ind w:left="425" w:firstLine="142"/>
    </w:pPr>
    <w:rPr>
      <w:sz w:val="20"/>
    </w:rPr>
  </w:style>
  <w:style w:type="paragraph" w:customStyle="1" w:styleId="JuList">
    <w:name w:val="Ju_List"/>
    <w:aliases w:val="_List_1"/>
    <w:basedOn w:val="NormalJustified"/>
    <w:uiPriority w:val="23"/>
    <w:qFormat/>
    <w:rsid w:val="002D609F"/>
    <w:pPr>
      <w:numPr>
        <w:numId w:val="29"/>
      </w:numPr>
      <w:spacing w:before="280" w:after="60"/>
    </w:pPr>
    <w:rPr>
      <w:rFonts w:eastAsiaTheme="minorHAnsi"/>
    </w:rPr>
  </w:style>
  <w:style w:type="paragraph" w:customStyle="1" w:styleId="JuLista">
    <w:name w:val="Ju_List_a"/>
    <w:aliases w:val="_List_2"/>
    <w:basedOn w:val="NormalJustified"/>
    <w:uiPriority w:val="23"/>
    <w:rsid w:val="002D609F"/>
    <w:pPr>
      <w:numPr>
        <w:ilvl w:val="1"/>
        <w:numId w:val="29"/>
      </w:numPr>
    </w:pPr>
  </w:style>
  <w:style w:type="paragraph" w:customStyle="1" w:styleId="JuListi">
    <w:name w:val="Ju_List_i"/>
    <w:aliases w:val="_List_3"/>
    <w:basedOn w:val="NormalJustified"/>
    <w:uiPriority w:val="23"/>
    <w:rsid w:val="002D609F"/>
    <w:pPr>
      <w:numPr>
        <w:ilvl w:val="2"/>
        <w:numId w:val="29"/>
      </w:numPr>
    </w:pPr>
  </w:style>
  <w:style w:type="paragraph" w:customStyle="1" w:styleId="Title4">
    <w:name w:val="_Title_4"/>
    <w:basedOn w:val="JuPara"/>
    <w:next w:val="JuPara"/>
    <w:uiPriority w:val="35"/>
    <w:qFormat/>
    <w:rsid w:val="002D609F"/>
    <w:pPr>
      <w:keepNext/>
      <w:keepLines/>
      <w:tabs>
        <w:tab w:val="right" w:pos="7938"/>
      </w:tabs>
      <w:ind w:firstLine="0"/>
      <w:jc w:val="center"/>
    </w:pPr>
    <w:rPr>
      <w:rFonts w:eastAsiaTheme="minorHAnsi"/>
      <w:i/>
    </w:rPr>
  </w:style>
  <w:style w:type="paragraph" w:customStyle="1" w:styleId="JuHArticle">
    <w:name w:val="Ju_H_Article"/>
    <w:aliases w:val="_Title_Quote"/>
    <w:basedOn w:val="Normale"/>
    <w:next w:val="JuQuot"/>
    <w:uiPriority w:val="20"/>
    <w:qFormat/>
    <w:rsid w:val="002D609F"/>
    <w:pPr>
      <w:keepNext/>
      <w:spacing w:before="100" w:beforeAutospacing="1" w:after="120"/>
      <w:contextualSpacing/>
      <w:jc w:val="center"/>
    </w:pPr>
    <w:rPr>
      <w:rFonts w:eastAsiaTheme="minorHAnsi"/>
      <w:b/>
      <w:sz w:val="20"/>
    </w:rPr>
  </w:style>
  <w:style w:type="numbering" w:customStyle="1" w:styleId="ECHRA1StyleBulletedSquare">
    <w:name w:val="ECHR_A1_Style_Bulleted_Square"/>
    <w:basedOn w:val="Nessunelenco"/>
    <w:rsid w:val="002D609F"/>
    <w:pPr>
      <w:numPr>
        <w:numId w:val="6"/>
      </w:numPr>
    </w:pPr>
  </w:style>
  <w:style w:type="numbering" w:customStyle="1" w:styleId="ECHRA1StyleList">
    <w:name w:val="ECHR_A1_Style_List"/>
    <w:basedOn w:val="Nessunelenco"/>
    <w:uiPriority w:val="99"/>
    <w:rsid w:val="002D609F"/>
    <w:pPr>
      <w:numPr>
        <w:numId w:val="7"/>
      </w:numPr>
    </w:pPr>
  </w:style>
  <w:style w:type="paragraph" w:customStyle="1" w:styleId="JuHHead">
    <w:name w:val="Ju_H_Head"/>
    <w:aliases w:val="_Head_1"/>
    <w:basedOn w:val="Normale"/>
    <w:next w:val="JuPara"/>
    <w:uiPriority w:val="19"/>
    <w:qFormat/>
    <w:rsid w:val="002D609F"/>
    <w:pPr>
      <w:keepNext/>
      <w:keepLines/>
      <w:numPr>
        <w:numId w:val="26"/>
      </w:numPr>
      <w:spacing w:before="100" w:beforeAutospacing="1" w:after="240"/>
      <w:outlineLvl w:val="0"/>
    </w:pPr>
    <w:rPr>
      <w:caps/>
      <w:sz w:val="28"/>
    </w:rPr>
  </w:style>
  <w:style w:type="numbering" w:customStyle="1" w:styleId="ECHRA1StyleNumberedList">
    <w:name w:val="ECHR_A1_Style_Numbered_List"/>
    <w:basedOn w:val="Nessunelenco"/>
    <w:rsid w:val="002D609F"/>
    <w:pPr>
      <w:numPr>
        <w:numId w:val="8"/>
      </w:numPr>
    </w:pPr>
  </w:style>
  <w:style w:type="paragraph" w:styleId="Titolo">
    <w:name w:val="Title"/>
    <w:basedOn w:val="Normale"/>
    <w:next w:val="Normale"/>
    <w:link w:val="TitoloCarattere"/>
    <w:uiPriority w:val="99"/>
    <w:semiHidden/>
    <w:qFormat/>
    <w:rsid w:val="002D609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2D609F"/>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2D609F"/>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basedOn w:val="Normale"/>
    <w:next w:val="JuPara"/>
    <w:uiPriority w:val="31"/>
    <w:rsid w:val="002D609F"/>
    <w:pPr>
      <w:ind w:firstLine="284"/>
    </w:pPr>
    <w:rPr>
      <w:b/>
    </w:rPr>
  </w:style>
  <w:style w:type="paragraph" w:customStyle="1" w:styleId="JuCourt">
    <w:name w:val="Ju_Court"/>
    <w:basedOn w:val="Normale"/>
    <w:next w:val="Normale"/>
    <w:uiPriority w:val="31"/>
    <w:qFormat/>
    <w:rsid w:val="002D609F"/>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2D609F"/>
    <w:pPr>
      <w:tabs>
        <w:tab w:val="center" w:pos="6407"/>
      </w:tabs>
      <w:spacing w:before="720"/>
      <w:jc w:val="right"/>
    </w:pPr>
  </w:style>
  <w:style w:type="paragraph" w:customStyle="1" w:styleId="JuHIRoman">
    <w:name w:val="Ju_H_I_Roman"/>
    <w:aliases w:val="_Head_2"/>
    <w:basedOn w:val="Normale"/>
    <w:next w:val="JuPara"/>
    <w:uiPriority w:val="19"/>
    <w:qFormat/>
    <w:rsid w:val="002D609F"/>
    <w:pPr>
      <w:keepNext/>
      <w:keepLines/>
      <w:numPr>
        <w:ilvl w:val="1"/>
        <w:numId w:val="26"/>
      </w:numPr>
      <w:spacing w:before="100" w:beforeAutospacing="1" w:after="240"/>
      <w:outlineLvl w:val="1"/>
    </w:pPr>
    <w:rPr>
      <w:caps/>
    </w:rPr>
  </w:style>
  <w:style w:type="paragraph" w:customStyle="1" w:styleId="JuHA">
    <w:name w:val="Ju_H_A"/>
    <w:aliases w:val="_Head_3"/>
    <w:basedOn w:val="Normale"/>
    <w:next w:val="JuPara"/>
    <w:uiPriority w:val="19"/>
    <w:qFormat/>
    <w:rsid w:val="002D609F"/>
    <w:pPr>
      <w:keepNext/>
      <w:keepLines/>
      <w:numPr>
        <w:ilvl w:val="2"/>
        <w:numId w:val="26"/>
      </w:numPr>
      <w:spacing w:before="100" w:beforeAutospacing="1" w:after="240"/>
      <w:outlineLvl w:val="2"/>
    </w:pPr>
    <w:rPr>
      <w:b/>
    </w:rPr>
  </w:style>
  <w:style w:type="paragraph" w:customStyle="1" w:styleId="JuH1">
    <w:name w:val="Ju_H_1."/>
    <w:aliases w:val="_Head_4"/>
    <w:basedOn w:val="Normale"/>
    <w:next w:val="JuPara"/>
    <w:uiPriority w:val="19"/>
    <w:rsid w:val="002D609F"/>
    <w:pPr>
      <w:keepNext/>
      <w:keepLines/>
      <w:numPr>
        <w:ilvl w:val="3"/>
        <w:numId w:val="26"/>
      </w:numPr>
      <w:spacing w:before="100" w:beforeAutospacing="1" w:after="120"/>
      <w:outlineLvl w:val="3"/>
    </w:pPr>
    <w:rPr>
      <w:i/>
    </w:rPr>
  </w:style>
  <w:style w:type="paragraph" w:styleId="Intestazione">
    <w:name w:val="header"/>
    <w:basedOn w:val="Normale"/>
    <w:link w:val="IntestazioneCarattere"/>
    <w:uiPriority w:val="48"/>
    <w:semiHidden/>
    <w:rsid w:val="002D609F"/>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48"/>
    <w:rsid w:val="002D609F"/>
    <w:rPr>
      <w:sz w:val="24"/>
      <w:lang w:val="fr-FR"/>
    </w:rPr>
  </w:style>
  <w:style w:type="character" w:customStyle="1" w:styleId="Titolo1Carattere">
    <w:name w:val="Titolo 1 Carattere"/>
    <w:basedOn w:val="Carpredefinitoparagrafo"/>
    <w:link w:val="Titolo1"/>
    <w:uiPriority w:val="99"/>
    <w:semiHidden/>
    <w:rsid w:val="002D609F"/>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Normale"/>
    <w:next w:val="JuPara"/>
    <w:uiPriority w:val="19"/>
    <w:rsid w:val="002D609F"/>
    <w:pPr>
      <w:keepNext/>
      <w:keepLines/>
      <w:numPr>
        <w:ilvl w:val="4"/>
        <w:numId w:val="26"/>
      </w:numPr>
      <w:spacing w:before="100" w:beforeAutospacing="1" w:after="120"/>
      <w:outlineLvl w:val="4"/>
    </w:pPr>
    <w:rPr>
      <w:b/>
      <w:sz w:val="20"/>
    </w:rPr>
  </w:style>
  <w:style w:type="paragraph" w:customStyle="1" w:styleId="JuHi">
    <w:name w:val="Ju_H_i"/>
    <w:aliases w:val="_Head_6"/>
    <w:basedOn w:val="Normale"/>
    <w:next w:val="JuPara"/>
    <w:uiPriority w:val="19"/>
    <w:rsid w:val="002D609F"/>
    <w:pPr>
      <w:keepNext/>
      <w:keepLines/>
      <w:numPr>
        <w:ilvl w:val="5"/>
        <w:numId w:val="26"/>
      </w:numPr>
      <w:spacing w:before="100" w:beforeAutospacing="1" w:after="120"/>
      <w:outlineLvl w:val="5"/>
    </w:pPr>
    <w:rPr>
      <w:i/>
      <w:sz w:val="20"/>
    </w:rPr>
  </w:style>
  <w:style w:type="character" w:customStyle="1" w:styleId="Titolo2Carattere">
    <w:name w:val="Titolo 2 Carattere"/>
    <w:basedOn w:val="Carpredefinitoparagrafo"/>
    <w:link w:val="Titolo2"/>
    <w:uiPriority w:val="99"/>
    <w:semiHidden/>
    <w:rsid w:val="002D609F"/>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Normale"/>
    <w:next w:val="JuPara"/>
    <w:uiPriority w:val="19"/>
    <w:rsid w:val="002D609F"/>
    <w:pPr>
      <w:keepNext/>
      <w:keepLines/>
      <w:numPr>
        <w:ilvl w:val="6"/>
        <w:numId w:val="26"/>
      </w:numPr>
      <w:spacing w:before="100" w:beforeAutospacing="1" w:after="120"/>
      <w:outlineLvl w:val="6"/>
    </w:pPr>
    <w:rPr>
      <w:sz w:val="20"/>
    </w:rPr>
  </w:style>
  <w:style w:type="paragraph" w:customStyle="1" w:styleId="JuH">
    <w:name w:val="Ju_H_–"/>
    <w:aliases w:val="_Head_8"/>
    <w:basedOn w:val="Normale"/>
    <w:next w:val="JuPara"/>
    <w:uiPriority w:val="19"/>
    <w:rsid w:val="002D609F"/>
    <w:pPr>
      <w:keepNext/>
      <w:keepLines/>
      <w:numPr>
        <w:ilvl w:val="7"/>
        <w:numId w:val="26"/>
      </w:numPr>
      <w:spacing w:before="100" w:beforeAutospacing="1" w:after="120"/>
      <w:outlineLvl w:val="7"/>
    </w:pPr>
    <w:rPr>
      <w:i/>
      <w:sz w:val="20"/>
    </w:rPr>
  </w:style>
  <w:style w:type="character" w:customStyle="1" w:styleId="Titolo3Carattere">
    <w:name w:val="Titolo 3 Carattere"/>
    <w:basedOn w:val="Carpredefinitoparagrafo"/>
    <w:link w:val="Titolo3"/>
    <w:uiPriority w:val="99"/>
    <w:semiHidden/>
    <w:rsid w:val="002D609F"/>
    <w:rPr>
      <w:rFonts w:asciiTheme="majorHAnsi" w:eastAsiaTheme="majorEastAsia" w:hAnsiTheme="majorHAnsi" w:cstheme="majorBidi"/>
      <w:b/>
      <w:bCs/>
      <w:color w:val="5F5F5F"/>
      <w:sz w:val="24"/>
      <w:lang w:val="fr-FR"/>
    </w:rPr>
  </w:style>
  <w:style w:type="paragraph" w:customStyle="1" w:styleId="JuParaLast">
    <w:name w:val="Ju_Para_Last"/>
    <w:aliases w:val="_Para_Spaced"/>
    <w:basedOn w:val="NormalJustified"/>
    <w:uiPriority w:val="9"/>
    <w:qFormat/>
    <w:rsid w:val="002D609F"/>
    <w:pPr>
      <w:keepNext/>
      <w:keepLines/>
      <w:spacing w:before="240" w:after="240"/>
      <w:ind w:firstLine="284"/>
    </w:pPr>
    <w:rPr>
      <w:rFonts w:eastAsiaTheme="minorHAnsi"/>
    </w:rPr>
  </w:style>
  <w:style w:type="character" w:customStyle="1" w:styleId="JuITMark">
    <w:name w:val="Ju_ITMark"/>
    <w:basedOn w:val="Carpredefinitoparagrafo"/>
    <w:uiPriority w:val="38"/>
    <w:qFormat/>
    <w:rsid w:val="002D609F"/>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9"/>
    <w:semiHidden/>
    <w:rsid w:val="002D609F"/>
    <w:rPr>
      <w:rFonts w:asciiTheme="majorHAnsi" w:eastAsiaTheme="majorEastAsia" w:hAnsiTheme="majorHAnsi" w:cstheme="majorBidi"/>
      <w:b/>
      <w:bCs/>
      <w:i/>
      <w:iCs/>
      <w:color w:val="777777"/>
      <w:sz w:val="24"/>
      <w:lang w:val="fr-FR"/>
    </w:rPr>
  </w:style>
  <w:style w:type="paragraph" w:customStyle="1" w:styleId="JuJudges">
    <w:name w:val="Ju_Judges"/>
    <w:basedOn w:val="Normale"/>
    <w:uiPriority w:val="31"/>
    <w:qFormat/>
    <w:rsid w:val="002D609F"/>
    <w:pPr>
      <w:tabs>
        <w:tab w:val="left" w:pos="567"/>
        <w:tab w:val="left" w:pos="1134"/>
      </w:tabs>
    </w:pPr>
  </w:style>
  <w:style w:type="character" w:customStyle="1" w:styleId="Titolo5Carattere">
    <w:name w:val="Titolo 5 Carattere"/>
    <w:basedOn w:val="Carpredefinitoparagrafo"/>
    <w:link w:val="Titolo5"/>
    <w:uiPriority w:val="99"/>
    <w:semiHidden/>
    <w:rsid w:val="002D609F"/>
    <w:rPr>
      <w:rFonts w:asciiTheme="majorHAnsi" w:eastAsiaTheme="majorEastAsia" w:hAnsiTheme="majorHAnsi" w:cstheme="majorBidi"/>
      <w:b/>
      <w:bCs/>
      <w:color w:val="808080"/>
      <w:sz w:val="24"/>
      <w:lang w:val="fr-FR"/>
    </w:rPr>
  </w:style>
  <w:style w:type="character" w:customStyle="1" w:styleId="JUNAMES">
    <w:name w:val="JU_NAMES"/>
    <w:uiPriority w:val="34"/>
    <w:qFormat/>
    <w:rsid w:val="002D609F"/>
    <w:rPr>
      <w:caps w:val="0"/>
      <w:smallCaps/>
    </w:rPr>
  </w:style>
  <w:style w:type="character" w:styleId="Enfasidelicata">
    <w:name w:val="Subtle Emphasis"/>
    <w:uiPriority w:val="99"/>
    <w:semiHidden/>
    <w:qFormat/>
    <w:rsid w:val="002D609F"/>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D609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5"/>
    <w:qFormat/>
    <w:rsid w:val="002D609F"/>
    <w:pPr>
      <w:keepNext/>
      <w:keepLines/>
      <w:spacing w:after="280"/>
      <w:ind w:firstLine="0"/>
      <w:jc w:val="center"/>
    </w:pPr>
    <w:rPr>
      <w:rFonts w:asciiTheme="majorHAnsi" w:hAnsiTheme="majorHAnsi"/>
    </w:rPr>
  </w:style>
  <w:style w:type="character" w:styleId="Enfasicorsivo">
    <w:name w:val="Emphasis"/>
    <w:uiPriority w:val="99"/>
    <w:semiHidden/>
    <w:qFormat/>
    <w:rsid w:val="002D609F"/>
    <w:rPr>
      <w:b/>
      <w:bCs/>
      <w:i/>
      <w:iCs/>
      <w:spacing w:val="10"/>
      <w:bdr w:val="none" w:sz="0" w:space="0" w:color="auto"/>
      <w:shd w:val="clear" w:color="auto" w:fill="auto"/>
    </w:rPr>
  </w:style>
  <w:style w:type="paragraph" w:styleId="Pidipagina">
    <w:name w:val="footer"/>
    <w:basedOn w:val="Normale"/>
    <w:link w:val="PidipaginaCarattere"/>
    <w:uiPriority w:val="57"/>
    <w:semiHidden/>
    <w:rsid w:val="002D609F"/>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2D609F"/>
    <w:rPr>
      <w:sz w:val="24"/>
      <w:lang w:val="fr-FR"/>
    </w:rPr>
  </w:style>
  <w:style w:type="character" w:styleId="Rimandonotaapidipagina">
    <w:name w:val="footnote reference"/>
    <w:basedOn w:val="Carpredefinitoparagrafo"/>
    <w:uiPriority w:val="99"/>
    <w:semiHidden/>
    <w:rsid w:val="002D609F"/>
    <w:rPr>
      <w:vertAlign w:val="superscript"/>
    </w:rPr>
  </w:style>
  <w:style w:type="paragraph" w:styleId="Testonotaapidipagina">
    <w:name w:val="footnote text"/>
    <w:basedOn w:val="Normale"/>
    <w:link w:val="TestonotaapidipaginaCarattere"/>
    <w:uiPriority w:val="99"/>
    <w:semiHidden/>
    <w:rsid w:val="002D609F"/>
    <w:rPr>
      <w:sz w:val="20"/>
      <w:szCs w:val="20"/>
    </w:rPr>
  </w:style>
  <w:style w:type="character" w:customStyle="1" w:styleId="TestonotaapidipaginaCarattere">
    <w:name w:val="Testo nota a piè di pagina Carattere"/>
    <w:basedOn w:val="Carpredefinitoparagrafo"/>
    <w:link w:val="Testonotaapidipagina"/>
    <w:uiPriority w:val="99"/>
    <w:semiHidden/>
    <w:rsid w:val="002D609F"/>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2D609F"/>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2D609F"/>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2D609F"/>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2D609F"/>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2D609F"/>
    <w:rPr>
      <w:color w:val="0072BC" w:themeColor="hyperlink"/>
      <w:u w:val="single"/>
    </w:rPr>
  </w:style>
  <w:style w:type="character" w:styleId="Enfasiintensa">
    <w:name w:val="Intense Emphasis"/>
    <w:uiPriority w:val="99"/>
    <w:semiHidden/>
    <w:qFormat/>
    <w:rsid w:val="002D609F"/>
    <w:rPr>
      <w:b/>
      <w:bCs/>
    </w:rPr>
  </w:style>
  <w:style w:type="paragraph" w:styleId="Citazioneintensa">
    <w:name w:val="Intense Quote"/>
    <w:basedOn w:val="Normale"/>
    <w:next w:val="Normale"/>
    <w:link w:val="CitazioneintensaCarattere"/>
    <w:uiPriority w:val="99"/>
    <w:semiHidden/>
    <w:qFormat/>
    <w:rsid w:val="002D609F"/>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2D609F"/>
    <w:rPr>
      <w:rFonts w:eastAsiaTheme="minorEastAsia"/>
      <w:b/>
      <w:bCs/>
      <w:i/>
      <w:iCs/>
      <w:sz w:val="24"/>
      <w:lang w:val="fr-FR" w:bidi="en-US"/>
    </w:rPr>
  </w:style>
  <w:style w:type="character" w:styleId="Riferimentointenso">
    <w:name w:val="Intense Reference"/>
    <w:uiPriority w:val="99"/>
    <w:semiHidden/>
    <w:qFormat/>
    <w:rsid w:val="002D609F"/>
    <w:rPr>
      <w:smallCaps/>
      <w:spacing w:val="5"/>
      <w:u w:val="single"/>
    </w:rPr>
  </w:style>
  <w:style w:type="paragraph" w:styleId="Paragrafoelenco">
    <w:name w:val="List Paragraph"/>
    <w:basedOn w:val="Normale"/>
    <w:uiPriority w:val="99"/>
    <w:semiHidden/>
    <w:qFormat/>
    <w:rsid w:val="002D609F"/>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2D609F"/>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2D609F"/>
    <w:rPr>
      <w:rFonts w:eastAsiaTheme="minorEastAsia"/>
      <w:i/>
      <w:iCs/>
      <w:sz w:val="24"/>
      <w:lang w:val="fr-FR" w:bidi="en-US"/>
    </w:rPr>
  </w:style>
  <w:style w:type="character" w:styleId="Riferimentodelicato">
    <w:name w:val="Subtle Reference"/>
    <w:uiPriority w:val="99"/>
    <w:semiHidden/>
    <w:qFormat/>
    <w:rsid w:val="002D609F"/>
    <w:rPr>
      <w:smallCaps/>
    </w:rPr>
  </w:style>
  <w:style w:type="table" w:styleId="Grigliatabella">
    <w:name w:val="Table Grid"/>
    <w:basedOn w:val="Tabellanormale"/>
    <w:uiPriority w:val="59"/>
    <w:semiHidden/>
    <w:rsid w:val="002D609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2D609F"/>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2D609F"/>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2D609F"/>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2D609F"/>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2D609F"/>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2D609F"/>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D609F"/>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D609F"/>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2D609F"/>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2D609F"/>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ttotitolo">
    <w:name w:val="Subtitle"/>
    <w:basedOn w:val="Normale"/>
    <w:next w:val="Normale"/>
    <w:link w:val="SottotitoloCarattere"/>
    <w:uiPriority w:val="99"/>
    <w:semiHidden/>
    <w:qFormat/>
    <w:rsid w:val="002D609F"/>
    <w:pPr>
      <w:spacing w:after="600"/>
    </w:pPr>
    <w:rPr>
      <w:rFonts w:asciiTheme="majorHAnsi" w:eastAsiaTheme="majorEastAsia" w:hAnsiTheme="majorHAnsi" w:cstheme="majorBidi"/>
      <w:i/>
      <w:iCs/>
      <w:spacing w:val="13"/>
      <w:szCs w:val="24"/>
      <w:lang w:bidi="en-US"/>
    </w:rPr>
  </w:style>
  <w:style w:type="paragraph" w:customStyle="1" w:styleId="JuPara">
    <w:name w:val="Ju_Para"/>
    <w:aliases w:val="_Para"/>
    <w:basedOn w:val="NormalJustified"/>
    <w:link w:val="JuParaChar"/>
    <w:uiPriority w:val="12"/>
    <w:qFormat/>
    <w:rsid w:val="002D609F"/>
    <w:pPr>
      <w:ind w:firstLine="284"/>
    </w:pPr>
  </w:style>
  <w:style w:type="character" w:customStyle="1" w:styleId="SottotitoloCarattere">
    <w:name w:val="Sottotitolo Carattere"/>
    <w:basedOn w:val="Carpredefinitoparagrafo"/>
    <w:link w:val="Sottotitolo"/>
    <w:uiPriority w:val="99"/>
    <w:semiHidden/>
    <w:rsid w:val="002D609F"/>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2D609F"/>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D609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2D609F"/>
    <w:pPr>
      <w:numPr>
        <w:numId w:val="3"/>
      </w:numPr>
    </w:pPr>
  </w:style>
  <w:style w:type="table" w:customStyle="1" w:styleId="ECHRTableForInternalUse">
    <w:name w:val="ECHR_Table_For_Internal_Use"/>
    <w:basedOn w:val="Tabellanormale"/>
    <w:uiPriority w:val="99"/>
    <w:rsid w:val="002D609F"/>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2D609F"/>
    <w:pPr>
      <w:numPr>
        <w:numId w:val="4"/>
      </w:numPr>
    </w:pPr>
  </w:style>
  <w:style w:type="numbering" w:styleId="ArticoloSezione">
    <w:name w:val="Outline List 3"/>
    <w:basedOn w:val="Nessunelenco"/>
    <w:uiPriority w:val="99"/>
    <w:semiHidden/>
    <w:unhideWhenUsed/>
    <w:rsid w:val="002D609F"/>
    <w:pPr>
      <w:numPr>
        <w:numId w:val="5"/>
      </w:numPr>
    </w:pPr>
  </w:style>
  <w:style w:type="table" w:customStyle="1" w:styleId="ECHRHeaderTable">
    <w:name w:val="ECHR_Header_Table"/>
    <w:basedOn w:val="Tabellanormale"/>
    <w:uiPriority w:val="99"/>
    <w:rsid w:val="002D609F"/>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2D609F"/>
  </w:style>
  <w:style w:type="paragraph" w:styleId="Testodelblocco">
    <w:name w:val="Block Text"/>
    <w:basedOn w:val="Normale"/>
    <w:uiPriority w:val="99"/>
    <w:semiHidden/>
    <w:rsid w:val="002D609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2D609F"/>
    <w:pPr>
      <w:spacing w:after="120"/>
    </w:pPr>
  </w:style>
  <w:style w:type="table" w:customStyle="1" w:styleId="ECHRHeaderTableReduced">
    <w:name w:val="ECHR_Header_Table_Reduced"/>
    <w:basedOn w:val="Tabellanormale"/>
    <w:uiPriority w:val="99"/>
    <w:rsid w:val="002D609F"/>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2D609F"/>
    <w:rPr>
      <w:sz w:val="18"/>
    </w:rPr>
  </w:style>
  <w:style w:type="character" w:styleId="Rimandocommento">
    <w:name w:val="annotation reference"/>
    <w:basedOn w:val="Carpredefinitoparagrafo"/>
    <w:uiPriority w:val="99"/>
    <w:semiHidden/>
    <w:rsid w:val="002D609F"/>
    <w:rPr>
      <w:sz w:val="16"/>
      <w:szCs w:val="16"/>
    </w:rPr>
  </w:style>
  <w:style w:type="paragraph" w:styleId="Testocommento">
    <w:name w:val="annotation text"/>
    <w:basedOn w:val="Normale"/>
    <w:link w:val="TestocommentoCarattere"/>
    <w:semiHidden/>
    <w:rsid w:val="002D609F"/>
    <w:rPr>
      <w:sz w:val="20"/>
      <w:szCs w:val="20"/>
    </w:rPr>
  </w:style>
  <w:style w:type="character" w:customStyle="1" w:styleId="TestocommentoCarattere">
    <w:name w:val="Testo commento Carattere"/>
    <w:basedOn w:val="Carpredefinitoparagrafo"/>
    <w:link w:val="Testocommento"/>
    <w:semiHidden/>
    <w:rsid w:val="002D609F"/>
    <w:rPr>
      <w:rFonts w:eastAsiaTheme="minorEastAsia"/>
      <w:sz w:val="20"/>
      <w:szCs w:val="20"/>
      <w:lang w:val="fr-FR"/>
    </w:rPr>
  </w:style>
  <w:style w:type="paragraph" w:customStyle="1" w:styleId="JuSigned">
    <w:name w:val="Ju_Signed"/>
    <w:aliases w:val="_Signature"/>
    <w:basedOn w:val="Normale"/>
    <w:next w:val="JuPara"/>
    <w:uiPriority w:val="30"/>
    <w:qFormat/>
    <w:rsid w:val="002D609F"/>
    <w:pPr>
      <w:tabs>
        <w:tab w:val="center" w:pos="851"/>
        <w:tab w:val="center" w:pos="6407"/>
      </w:tabs>
      <w:spacing w:before="720"/>
    </w:pPr>
  </w:style>
  <w:style w:type="paragraph" w:customStyle="1" w:styleId="JuTitle">
    <w:name w:val="Ju_Title"/>
    <w:aliases w:val="_Title_2"/>
    <w:basedOn w:val="Normale"/>
    <w:next w:val="JuPara"/>
    <w:uiPriority w:val="35"/>
    <w:qFormat/>
    <w:rsid w:val="002D609F"/>
    <w:pPr>
      <w:keepNext/>
      <w:keepLines/>
      <w:spacing w:before="1320" w:after="280"/>
      <w:contextualSpacing/>
      <w:jc w:val="center"/>
    </w:pPr>
    <w:rPr>
      <w:rFonts w:eastAsiaTheme="minorHAnsi"/>
      <w:b/>
    </w:rPr>
  </w:style>
  <w:style w:type="paragraph" w:customStyle="1" w:styleId="DecHTitle">
    <w:name w:val="Dec_H_Title"/>
    <w:aliases w:val="_Title_1"/>
    <w:basedOn w:val="JuPara"/>
    <w:next w:val="JuPara"/>
    <w:uiPriority w:val="35"/>
    <w:qFormat/>
    <w:rsid w:val="002D609F"/>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2D609F"/>
    <w:pPr>
      <w:numPr>
        <w:numId w:val="37"/>
      </w:numPr>
      <w:contextualSpacing/>
    </w:pPr>
  </w:style>
  <w:style w:type="paragraph" w:styleId="Puntoelenco3">
    <w:name w:val="List Bullet 3"/>
    <w:basedOn w:val="Normale"/>
    <w:uiPriority w:val="99"/>
    <w:semiHidden/>
    <w:rsid w:val="002D609F"/>
    <w:pPr>
      <w:numPr>
        <w:numId w:val="38"/>
      </w:numPr>
      <w:contextualSpacing/>
    </w:pPr>
  </w:style>
  <w:style w:type="character" w:customStyle="1" w:styleId="CorpotestoCarattere">
    <w:name w:val="Corpo testo Carattere"/>
    <w:basedOn w:val="Carpredefinitoparagrafo"/>
    <w:link w:val="Corpotesto"/>
    <w:uiPriority w:val="99"/>
    <w:semiHidden/>
    <w:rsid w:val="002D609F"/>
    <w:rPr>
      <w:rFonts w:eastAsiaTheme="minorEastAsia"/>
      <w:sz w:val="24"/>
      <w:lang w:val="fr-FR"/>
    </w:rPr>
  </w:style>
  <w:style w:type="paragraph" w:styleId="Corpodeltesto2">
    <w:name w:val="Body Text 2"/>
    <w:basedOn w:val="Normale"/>
    <w:link w:val="Corpodeltesto2Carattere"/>
    <w:uiPriority w:val="99"/>
    <w:semiHidden/>
    <w:rsid w:val="002D609F"/>
    <w:pPr>
      <w:spacing w:after="120" w:line="480" w:lineRule="auto"/>
    </w:pPr>
  </w:style>
  <w:style w:type="character" w:customStyle="1" w:styleId="Corpodeltesto2Carattere">
    <w:name w:val="Corpo del testo 2 Carattere"/>
    <w:basedOn w:val="Carpredefinitoparagrafo"/>
    <w:link w:val="Corpodeltesto2"/>
    <w:uiPriority w:val="99"/>
    <w:semiHidden/>
    <w:rsid w:val="002D609F"/>
    <w:rPr>
      <w:rFonts w:eastAsiaTheme="minorEastAsia"/>
      <w:sz w:val="24"/>
      <w:lang w:val="fr-FR"/>
    </w:rPr>
  </w:style>
  <w:style w:type="paragraph" w:styleId="Corpodeltesto3">
    <w:name w:val="Body Text 3"/>
    <w:basedOn w:val="Normale"/>
    <w:link w:val="Corpodeltesto3Carattere"/>
    <w:uiPriority w:val="99"/>
    <w:semiHidden/>
    <w:rsid w:val="002D609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D609F"/>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2D609F"/>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D609F"/>
    <w:rPr>
      <w:rFonts w:eastAsiaTheme="minorEastAsia"/>
      <w:sz w:val="24"/>
      <w:lang w:val="fr-FR"/>
    </w:rPr>
  </w:style>
  <w:style w:type="paragraph" w:styleId="Rientrocorpodeltesto">
    <w:name w:val="Body Text Indent"/>
    <w:basedOn w:val="Normale"/>
    <w:link w:val="RientrocorpodeltestoCarattere"/>
    <w:uiPriority w:val="99"/>
    <w:semiHidden/>
    <w:rsid w:val="002D609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D609F"/>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2D609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D609F"/>
    <w:rPr>
      <w:rFonts w:eastAsiaTheme="minorEastAsia"/>
      <w:sz w:val="24"/>
      <w:lang w:val="fr-FR"/>
    </w:rPr>
  </w:style>
  <w:style w:type="paragraph" w:styleId="Rientrocorpodeltesto2">
    <w:name w:val="Body Text Indent 2"/>
    <w:basedOn w:val="Normale"/>
    <w:link w:val="Rientrocorpodeltesto2Carattere"/>
    <w:uiPriority w:val="99"/>
    <w:semiHidden/>
    <w:rsid w:val="002D609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D609F"/>
    <w:rPr>
      <w:rFonts w:eastAsiaTheme="minorEastAsia"/>
      <w:sz w:val="24"/>
      <w:lang w:val="fr-FR"/>
    </w:rPr>
  </w:style>
  <w:style w:type="paragraph" w:styleId="Rientrocorpodeltesto3">
    <w:name w:val="Body Text Indent 3"/>
    <w:basedOn w:val="Normale"/>
    <w:link w:val="Rientrocorpodeltesto3Carattere"/>
    <w:uiPriority w:val="99"/>
    <w:semiHidden/>
    <w:rsid w:val="002D609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609F"/>
    <w:rPr>
      <w:rFonts w:eastAsiaTheme="minorEastAsia"/>
      <w:sz w:val="16"/>
      <w:szCs w:val="16"/>
      <w:lang w:val="fr-FR"/>
    </w:rPr>
  </w:style>
  <w:style w:type="paragraph" w:styleId="Didascalia">
    <w:name w:val="caption"/>
    <w:basedOn w:val="Normale"/>
    <w:next w:val="Normale"/>
    <w:uiPriority w:val="99"/>
    <w:semiHidden/>
    <w:qFormat/>
    <w:rsid w:val="002D609F"/>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2D609F"/>
    <w:pPr>
      <w:ind w:left="4252"/>
    </w:pPr>
  </w:style>
  <w:style w:type="character" w:customStyle="1" w:styleId="FormuladichiusuraCarattere">
    <w:name w:val="Formula di chiusura Carattere"/>
    <w:basedOn w:val="Carpredefinitoparagrafo"/>
    <w:link w:val="Formuladichiusura"/>
    <w:uiPriority w:val="99"/>
    <w:semiHidden/>
    <w:rsid w:val="002D609F"/>
    <w:rPr>
      <w:rFonts w:eastAsiaTheme="minorEastAsia"/>
      <w:sz w:val="24"/>
      <w:lang w:val="fr-FR"/>
    </w:rPr>
  </w:style>
  <w:style w:type="table" w:styleId="Grigliaacolori">
    <w:name w:val="Colorful Grid"/>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D609F"/>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D609F"/>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D609F"/>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D609F"/>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D609F"/>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D609F"/>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D609F"/>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D609F"/>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D609F"/>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D609F"/>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D609F"/>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D609F"/>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D609F"/>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D609F"/>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D609F"/>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2D609F"/>
    <w:rPr>
      <w:b/>
      <w:bCs/>
    </w:rPr>
  </w:style>
  <w:style w:type="character" w:customStyle="1" w:styleId="SoggettocommentoCarattere">
    <w:name w:val="Soggetto commento Carattere"/>
    <w:basedOn w:val="TestocommentoCarattere"/>
    <w:link w:val="Soggettocommento"/>
    <w:uiPriority w:val="99"/>
    <w:semiHidden/>
    <w:rsid w:val="002D609F"/>
    <w:rPr>
      <w:rFonts w:eastAsiaTheme="minorEastAsia"/>
      <w:b/>
      <w:bCs/>
      <w:sz w:val="20"/>
      <w:szCs w:val="20"/>
      <w:lang w:val="fr-FR"/>
    </w:rPr>
  </w:style>
  <w:style w:type="table" w:styleId="Elencoscuro">
    <w:name w:val="Dark List"/>
    <w:basedOn w:val="Tabellanormale"/>
    <w:uiPriority w:val="70"/>
    <w:semiHidden/>
    <w:rsid w:val="002D609F"/>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D609F"/>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D609F"/>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D609F"/>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D609F"/>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D609F"/>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D609F"/>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D609F"/>
  </w:style>
  <w:style w:type="character" w:customStyle="1" w:styleId="DataCarattere">
    <w:name w:val="Data Carattere"/>
    <w:basedOn w:val="Carpredefinitoparagrafo"/>
    <w:link w:val="Data"/>
    <w:uiPriority w:val="99"/>
    <w:semiHidden/>
    <w:rsid w:val="002D609F"/>
    <w:rPr>
      <w:rFonts w:eastAsiaTheme="minorEastAsia"/>
      <w:sz w:val="24"/>
      <w:lang w:val="fr-FR"/>
    </w:rPr>
  </w:style>
  <w:style w:type="paragraph" w:styleId="Mappadocumento">
    <w:name w:val="Document Map"/>
    <w:basedOn w:val="Normale"/>
    <w:link w:val="MappadocumentoCarattere"/>
    <w:uiPriority w:val="99"/>
    <w:semiHidden/>
    <w:rsid w:val="002D609F"/>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D609F"/>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2D609F"/>
  </w:style>
  <w:style w:type="character" w:customStyle="1" w:styleId="FirmadipostaelettronicaCarattere">
    <w:name w:val="Firma di posta elettronica Carattere"/>
    <w:basedOn w:val="Carpredefinitoparagrafo"/>
    <w:link w:val="Firmadipostaelettronica"/>
    <w:uiPriority w:val="99"/>
    <w:semiHidden/>
    <w:rsid w:val="002D609F"/>
    <w:rPr>
      <w:rFonts w:eastAsiaTheme="minorEastAsia"/>
      <w:sz w:val="24"/>
      <w:lang w:val="fr-FR"/>
    </w:rPr>
  </w:style>
  <w:style w:type="character" w:styleId="Rimandonotadichiusura">
    <w:name w:val="endnote reference"/>
    <w:basedOn w:val="Carpredefinitoparagrafo"/>
    <w:uiPriority w:val="99"/>
    <w:semiHidden/>
    <w:rsid w:val="002D609F"/>
    <w:rPr>
      <w:vertAlign w:val="superscript"/>
    </w:rPr>
  </w:style>
  <w:style w:type="paragraph" w:styleId="Testonotadichiusura">
    <w:name w:val="endnote text"/>
    <w:basedOn w:val="Normale"/>
    <w:link w:val="TestonotadichiusuraCarattere"/>
    <w:uiPriority w:val="99"/>
    <w:semiHidden/>
    <w:rsid w:val="002D609F"/>
    <w:rPr>
      <w:sz w:val="20"/>
      <w:szCs w:val="20"/>
    </w:rPr>
  </w:style>
  <w:style w:type="character" w:customStyle="1" w:styleId="TestonotadichiusuraCarattere">
    <w:name w:val="Testo nota di chiusura Carattere"/>
    <w:basedOn w:val="Carpredefinitoparagrafo"/>
    <w:link w:val="Testonotadichiusura"/>
    <w:uiPriority w:val="99"/>
    <w:semiHidden/>
    <w:rsid w:val="002D609F"/>
    <w:rPr>
      <w:rFonts w:eastAsiaTheme="minorEastAsia"/>
      <w:sz w:val="20"/>
      <w:szCs w:val="20"/>
      <w:lang w:val="fr-FR"/>
    </w:rPr>
  </w:style>
  <w:style w:type="paragraph" w:styleId="Indirizzodestinatario">
    <w:name w:val="envelope address"/>
    <w:basedOn w:val="Normale"/>
    <w:uiPriority w:val="99"/>
    <w:semiHidden/>
    <w:rsid w:val="002D609F"/>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D609F"/>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2D609F"/>
    <w:rPr>
      <w:color w:val="7030A0" w:themeColor="followedHyperlink"/>
      <w:u w:val="single"/>
    </w:rPr>
  </w:style>
  <w:style w:type="character" w:styleId="AcronimoHTML">
    <w:name w:val="HTML Acronym"/>
    <w:basedOn w:val="Carpredefinitoparagrafo"/>
    <w:uiPriority w:val="99"/>
    <w:semiHidden/>
    <w:rsid w:val="002D609F"/>
  </w:style>
  <w:style w:type="paragraph" w:styleId="IndirizzoHTML">
    <w:name w:val="HTML Address"/>
    <w:basedOn w:val="Normale"/>
    <w:link w:val="IndirizzoHTMLCarattere"/>
    <w:uiPriority w:val="99"/>
    <w:semiHidden/>
    <w:rsid w:val="002D609F"/>
    <w:rPr>
      <w:i/>
      <w:iCs/>
    </w:rPr>
  </w:style>
  <w:style w:type="character" w:customStyle="1" w:styleId="IndirizzoHTMLCarattere">
    <w:name w:val="Indirizzo HTML Carattere"/>
    <w:basedOn w:val="Carpredefinitoparagrafo"/>
    <w:link w:val="IndirizzoHTML"/>
    <w:uiPriority w:val="99"/>
    <w:semiHidden/>
    <w:rsid w:val="002D609F"/>
    <w:rPr>
      <w:rFonts w:eastAsiaTheme="minorEastAsia"/>
      <w:i/>
      <w:iCs/>
      <w:sz w:val="24"/>
      <w:lang w:val="fr-FR"/>
    </w:rPr>
  </w:style>
  <w:style w:type="character" w:styleId="CitazioneHTML">
    <w:name w:val="HTML Cite"/>
    <w:basedOn w:val="Carpredefinitoparagrafo"/>
    <w:uiPriority w:val="99"/>
    <w:semiHidden/>
    <w:rsid w:val="002D609F"/>
    <w:rPr>
      <w:i/>
      <w:iCs/>
    </w:rPr>
  </w:style>
  <w:style w:type="character" w:styleId="CodiceHTML">
    <w:name w:val="HTML Code"/>
    <w:basedOn w:val="Carpredefinitoparagrafo"/>
    <w:uiPriority w:val="99"/>
    <w:semiHidden/>
    <w:rsid w:val="002D609F"/>
    <w:rPr>
      <w:rFonts w:ascii="Consolas" w:hAnsi="Consolas" w:cs="Consolas"/>
      <w:sz w:val="20"/>
      <w:szCs w:val="20"/>
    </w:rPr>
  </w:style>
  <w:style w:type="character" w:styleId="DefinizioneHTML">
    <w:name w:val="HTML Definition"/>
    <w:basedOn w:val="Carpredefinitoparagrafo"/>
    <w:uiPriority w:val="99"/>
    <w:semiHidden/>
    <w:rsid w:val="002D609F"/>
    <w:rPr>
      <w:i/>
      <w:iCs/>
    </w:rPr>
  </w:style>
  <w:style w:type="character" w:styleId="TastieraHTML">
    <w:name w:val="HTML Keyboard"/>
    <w:basedOn w:val="Carpredefinitoparagrafo"/>
    <w:uiPriority w:val="99"/>
    <w:semiHidden/>
    <w:rsid w:val="002D609F"/>
    <w:rPr>
      <w:rFonts w:ascii="Consolas" w:hAnsi="Consolas" w:cs="Consolas"/>
      <w:sz w:val="20"/>
      <w:szCs w:val="20"/>
    </w:rPr>
  </w:style>
  <w:style w:type="paragraph" w:styleId="PreformattatoHTML">
    <w:name w:val="HTML Preformatted"/>
    <w:basedOn w:val="Normale"/>
    <w:link w:val="PreformattatoHTMLCarattere"/>
    <w:uiPriority w:val="99"/>
    <w:semiHidden/>
    <w:rsid w:val="002D609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D609F"/>
    <w:rPr>
      <w:rFonts w:ascii="Consolas" w:eastAsiaTheme="minorEastAsia" w:hAnsi="Consolas" w:cs="Consolas"/>
      <w:sz w:val="20"/>
      <w:szCs w:val="20"/>
      <w:lang w:val="fr-FR"/>
    </w:rPr>
  </w:style>
  <w:style w:type="character" w:styleId="EsempioHTML">
    <w:name w:val="HTML Sample"/>
    <w:basedOn w:val="Carpredefinitoparagrafo"/>
    <w:uiPriority w:val="99"/>
    <w:semiHidden/>
    <w:rsid w:val="002D609F"/>
    <w:rPr>
      <w:rFonts w:ascii="Consolas" w:hAnsi="Consolas" w:cs="Consolas"/>
      <w:sz w:val="24"/>
      <w:szCs w:val="24"/>
    </w:rPr>
  </w:style>
  <w:style w:type="character" w:styleId="MacchinadascrivereHTML">
    <w:name w:val="HTML Typewriter"/>
    <w:basedOn w:val="Carpredefinitoparagrafo"/>
    <w:uiPriority w:val="99"/>
    <w:semiHidden/>
    <w:rsid w:val="002D609F"/>
    <w:rPr>
      <w:rFonts w:ascii="Consolas" w:hAnsi="Consolas" w:cs="Consolas"/>
      <w:sz w:val="20"/>
      <w:szCs w:val="20"/>
    </w:rPr>
  </w:style>
  <w:style w:type="character" w:styleId="VariabileHTML">
    <w:name w:val="HTML Variable"/>
    <w:basedOn w:val="Carpredefinitoparagrafo"/>
    <w:uiPriority w:val="99"/>
    <w:semiHidden/>
    <w:rsid w:val="002D609F"/>
    <w:rPr>
      <w:i/>
      <w:iCs/>
    </w:rPr>
  </w:style>
  <w:style w:type="paragraph" w:styleId="Indice1">
    <w:name w:val="index 1"/>
    <w:basedOn w:val="Normale"/>
    <w:next w:val="Normale"/>
    <w:autoRedefine/>
    <w:uiPriority w:val="99"/>
    <w:semiHidden/>
    <w:rsid w:val="002D609F"/>
    <w:pPr>
      <w:ind w:left="240" w:hanging="240"/>
    </w:pPr>
  </w:style>
  <w:style w:type="paragraph" w:styleId="Indice2">
    <w:name w:val="index 2"/>
    <w:basedOn w:val="Normale"/>
    <w:next w:val="Normale"/>
    <w:autoRedefine/>
    <w:uiPriority w:val="99"/>
    <w:semiHidden/>
    <w:rsid w:val="002D609F"/>
    <w:pPr>
      <w:ind w:left="480" w:hanging="240"/>
    </w:pPr>
  </w:style>
  <w:style w:type="paragraph" w:styleId="Indice3">
    <w:name w:val="index 3"/>
    <w:basedOn w:val="Normale"/>
    <w:next w:val="Normale"/>
    <w:autoRedefine/>
    <w:uiPriority w:val="99"/>
    <w:semiHidden/>
    <w:rsid w:val="002D609F"/>
    <w:pPr>
      <w:ind w:left="720" w:hanging="240"/>
    </w:pPr>
  </w:style>
  <w:style w:type="paragraph" w:styleId="Indice4">
    <w:name w:val="index 4"/>
    <w:basedOn w:val="Normale"/>
    <w:next w:val="Normale"/>
    <w:autoRedefine/>
    <w:uiPriority w:val="99"/>
    <w:semiHidden/>
    <w:rsid w:val="002D609F"/>
    <w:pPr>
      <w:ind w:left="960" w:hanging="240"/>
    </w:pPr>
  </w:style>
  <w:style w:type="paragraph" w:styleId="Indice5">
    <w:name w:val="index 5"/>
    <w:basedOn w:val="Normale"/>
    <w:next w:val="Normale"/>
    <w:autoRedefine/>
    <w:uiPriority w:val="99"/>
    <w:semiHidden/>
    <w:rsid w:val="002D609F"/>
    <w:pPr>
      <w:ind w:left="1200" w:hanging="240"/>
    </w:pPr>
  </w:style>
  <w:style w:type="paragraph" w:styleId="Indice6">
    <w:name w:val="index 6"/>
    <w:basedOn w:val="Normale"/>
    <w:next w:val="Normale"/>
    <w:autoRedefine/>
    <w:uiPriority w:val="99"/>
    <w:semiHidden/>
    <w:rsid w:val="002D609F"/>
    <w:pPr>
      <w:ind w:left="1440" w:hanging="240"/>
    </w:pPr>
  </w:style>
  <w:style w:type="paragraph" w:styleId="Indice7">
    <w:name w:val="index 7"/>
    <w:basedOn w:val="Normale"/>
    <w:next w:val="Normale"/>
    <w:autoRedefine/>
    <w:uiPriority w:val="99"/>
    <w:semiHidden/>
    <w:rsid w:val="002D609F"/>
    <w:pPr>
      <w:ind w:left="1680" w:hanging="240"/>
    </w:pPr>
  </w:style>
  <w:style w:type="paragraph" w:styleId="Indice8">
    <w:name w:val="index 8"/>
    <w:basedOn w:val="Normale"/>
    <w:next w:val="Normale"/>
    <w:autoRedefine/>
    <w:uiPriority w:val="99"/>
    <w:semiHidden/>
    <w:rsid w:val="002D609F"/>
    <w:pPr>
      <w:ind w:left="1920" w:hanging="240"/>
    </w:pPr>
  </w:style>
  <w:style w:type="paragraph" w:styleId="Indice9">
    <w:name w:val="index 9"/>
    <w:basedOn w:val="Normale"/>
    <w:next w:val="Normale"/>
    <w:autoRedefine/>
    <w:uiPriority w:val="99"/>
    <w:semiHidden/>
    <w:rsid w:val="002D609F"/>
    <w:pPr>
      <w:ind w:left="2160" w:hanging="240"/>
    </w:pPr>
  </w:style>
  <w:style w:type="paragraph" w:styleId="Titoloindice">
    <w:name w:val="index heading"/>
    <w:basedOn w:val="Normale"/>
    <w:next w:val="Indice1"/>
    <w:uiPriority w:val="99"/>
    <w:semiHidden/>
    <w:rsid w:val="002D609F"/>
    <w:rPr>
      <w:rFonts w:asciiTheme="majorHAnsi" w:eastAsiaTheme="majorEastAsia" w:hAnsiTheme="majorHAnsi" w:cstheme="majorBidi"/>
      <w:b/>
      <w:bCs/>
    </w:rPr>
  </w:style>
  <w:style w:type="table" w:styleId="Grigliachiara">
    <w:name w:val="Light Grid"/>
    <w:basedOn w:val="Tabellanormale"/>
    <w:uiPriority w:val="62"/>
    <w:semiHidden/>
    <w:rsid w:val="002D60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D609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D609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D609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D609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D609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D609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D609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D609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D609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D609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D609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D609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D609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D609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D609F"/>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D609F"/>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D609F"/>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D609F"/>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D609F"/>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D609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D609F"/>
  </w:style>
  <w:style w:type="paragraph" w:styleId="Elenco">
    <w:name w:val="List"/>
    <w:basedOn w:val="Normale"/>
    <w:uiPriority w:val="99"/>
    <w:semiHidden/>
    <w:rsid w:val="002D609F"/>
    <w:pPr>
      <w:ind w:left="283" w:hanging="283"/>
      <w:contextualSpacing/>
    </w:pPr>
  </w:style>
  <w:style w:type="paragraph" w:styleId="Elenco2">
    <w:name w:val="List 2"/>
    <w:basedOn w:val="Normale"/>
    <w:uiPriority w:val="99"/>
    <w:semiHidden/>
    <w:rsid w:val="002D609F"/>
    <w:pPr>
      <w:ind w:left="566" w:hanging="283"/>
      <w:contextualSpacing/>
    </w:pPr>
  </w:style>
  <w:style w:type="paragraph" w:styleId="Elenco3">
    <w:name w:val="List 3"/>
    <w:basedOn w:val="Normale"/>
    <w:uiPriority w:val="99"/>
    <w:semiHidden/>
    <w:rsid w:val="002D609F"/>
    <w:pPr>
      <w:ind w:left="849" w:hanging="283"/>
      <w:contextualSpacing/>
    </w:pPr>
  </w:style>
  <w:style w:type="paragraph" w:styleId="Elenco4">
    <w:name w:val="List 4"/>
    <w:basedOn w:val="Normale"/>
    <w:uiPriority w:val="99"/>
    <w:semiHidden/>
    <w:rsid w:val="002D609F"/>
    <w:pPr>
      <w:ind w:left="1132" w:hanging="283"/>
      <w:contextualSpacing/>
    </w:pPr>
  </w:style>
  <w:style w:type="paragraph" w:styleId="Elenco5">
    <w:name w:val="List 5"/>
    <w:basedOn w:val="Normale"/>
    <w:uiPriority w:val="99"/>
    <w:semiHidden/>
    <w:rsid w:val="002D609F"/>
    <w:pPr>
      <w:ind w:left="1415" w:hanging="283"/>
      <w:contextualSpacing/>
    </w:pPr>
  </w:style>
  <w:style w:type="paragraph" w:styleId="Puntoelenco">
    <w:name w:val="List Bullet"/>
    <w:basedOn w:val="Normale"/>
    <w:uiPriority w:val="99"/>
    <w:semiHidden/>
    <w:rsid w:val="002D609F"/>
    <w:pPr>
      <w:numPr>
        <w:numId w:val="36"/>
      </w:numPr>
    </w:pPr>
  </w:style>
  <w:style w:type="paragraph" w:styleId="Puntoelenco4">
    <w:name w:val="List Bullet 4"/>
    <w:basedOn w:val="Normale"/>
    <w:uiPriority w:val="99"/>
    <w:semiHidden/>
    <w:rsid w:val="002D609F"/>
    <w:pPr>
      <w:numPr>
        <w:numId w:val="39"/>
      </w:numPr>
      <w:contextualSpacing/>
    </w:pPr>
  </w:style>
  <w:style w:type="paragraph" w:styleId="Puntoelenco5">
    <w:name w:val="List Bullet 5"/>
    <w:basedOn w:val="Normale"/>
    <w:uiPriority w:val="99"/>
    <w:semiHidden/>
    <w:rsid w:val="002D609F"/>
    <w:pPr>
      <w:numPr>
        <w:numId w:val="40"/>
      </w:numPr>
      <w:contextualSpacing/>
    </w:pPr>
  </w:style>
  <w:style w:type="paragraph" w:styleId="Elencocontinua">
    <w:name w:val="List Continue"/>
    <w:basedOn w:val="Normale"/>
    <w:uiPriority w:val="99"/>
    <w:semiHidden/>
    <w:rsid w:val="002D609F"/>
    <w:pPr>
      <w:spacing w:after="120"/>
      <w:ind w:left="283"/>
      <w:contextualSpacing/>
    </w:pPr>
  </w:style>
  <w:style w:type="paragraph" w:styleId="Elencocontinua2">
    <w:name w:val="List Continue 2"/>
    <w:basedOn w:val="Normale"/>
    <w:uiPriority w:val="99"/>
    <w:semiHidden/>
    <w:rsid w:val="002D609F"/>
    <w:pPr>
      <w:spacing w:after="120"/>
      <w:ind w:left="566"/>
      <w:contextualSpacing/>
    </w:pPr>
  </w:style>
  <w:style w:type="paragraph" w:styleId="Elencocontinua3">
    <w:name w:val="List Continue 3"/>
    <w:basedOn w:val="Normale"/>
    <w:uiPriority w:val="99"/>
    <w:semiHidden/>
    <w:rsid w:val="002D609F"/>
    <w:pPr>
      <w:spacing w:after="120"/>
      <w:ind w:left="849"/>
      <w:contextualSpacing/>
    </w:pPr>
  </w:style>
  <w:style w:type="paragraph" w:styleId="Elencocontinua4">
    <w:name w:val="List Continue 4"/>
    <w:basedOn w:val="Normale"/>
    <w:uiPriority w:val="99"/>
    <w:semiHidden/>
    <w:rsid w:val="002D609F"/>
    <w:pPr>
      <w:spacing w:after="120"/>
      <w:ind w:left="1132"/>
      <w:contextualSpacing/>
    </w:pPr>
  </w:style>
  <w:style w:type="paragraph" w:styleId="Elencocontinua5">
    <w:name w:val="List Continue 5"/>
    <w:basedOn w:val="Normale"/>
    <w:uiPriority w:val="99"/>
    <w:semiHidden/>
    <w:rsid w:val="002D609F"/>
    <w:pPr>
      <w:spacing w:after="120"/>
      <w:ind w:left="1415"/>
      <w:contextualSpacing/>
    </w:pPr>
  </w:style>
  <w:style w:type="paragraph" w:styleId="Numeroelenco">
    <w:name w:val="List Number"/>
    <w:basedOn w:val="Normale"/>
    <w:uiPriority w:val="99"/>
    <w:semiHidden/>
    <w:rsid w:val="002D609F"/>
    <w:pPr>
      <w:numPr>
        <w:numId w:val="41"/>
      </w:numPr>
      <w:contextualSpacing/>
    </w:pPr>
  </w:style>
  <w:style w:type="paragraph" w:styleId="Numeroelenco2">
    <w:name w:val="List Number 2"/>
    <w:basedOn w:val="Normale"/>
    <w:uiPriority w:val="99"/>
    <w:semiHidden/>
    <w:rsid w:val="002D609F"/>
    <w:pPr>
      <w:numPr>
        <w:numId w:val="42"/>
      </w:numPr>
      <w:contextualSpacing/>
    </w:pPr>
  </w:style>
  <w:style w:type="paragraph" w:styleId="Numeroelenco3">
    <w:name w:val="List Number 3"/>
    <w:basedOn w:val="Normale"/>
    <w:uiPriority w:val="99"/>
    <w:semiHidden/>
    <w:rsid w:val="002D609F"/>
    <w:pPr>
      <w:numPr>
        <w:numId w:val="43"/>
      </w:numPr>
      <w:contextualSpacing/>
    </w:pPr>
  </w:style>
  <w:style w:type="paragraph" w:styleId="Numeroelenco4">
    <w:name w:val="List Number 4"/>
    <w:basedOn w:val="Normale"/>
    <w:uiPriority w:val="99"/>
    <w:semiHidden/>
    <w:rsid w:val="002D609F"/>
    <w:pPr>
      <w:numPr>
        <w:numId w:val="44"/>
      </w:numPr>
      <w:contextualSpacing/>
    </w:pPr>
  </w:style>
  <w:style w:type="paragraph" w:styleId="Numeroelenco5">
    <w:name w:val="List Number 5"/>
    <w:basedOn w:val="Normale"/>
    <w:uiPriority w:val="99"/>
    <w:semiHidden/>
    <w:rsid w:val="002D609F"/>
    <w:pPr>
      <w:numPr>
        <w:numId w:val="45"/>
      </w:numPr>
      <w:contextualSpacing/>
    </w:pPr>
  </w:style>
  <w:style w:type="paragraph" w:styleId="Testomacro">
    <w:name w:val="macro"/>
    <w:link w:val="TestomacroCarattere"/>
    <w:uiPriority w:val="99"/>
    <w:semiHidden/>
    <w:rsid w:val="002D609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D609F"/>
    <w:rPr>
      <w:rFonts w:ascii="Consolas" w:eastAsiaTheme="minorEastAsia" w:hAnsi="Consolas" w:cs="Consolas"/>
      <w:sz w:val="20"/>
      <w:szCs w:val="20"/>
    </w:rPr>
  </w:style>
  <w:style w:type="table" w:styleId="Grigliamedia1">
    <w:name w:val="Medium Grid 1"/>
    <w:basedOn w:val="Tabellanormale"/>
    <w:uiPriority w:val="67"/>
    <w:semiHidden/>
    <w:rsid w:val="002D60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D609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D609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D609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D609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D609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D609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D609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D609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D609F"/>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D609F"/>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D609F"/>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D609F"/>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D609F"/>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D609F"/>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D609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D609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D609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D609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D609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D609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D609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D609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D60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D609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D609F"/>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2D609F"/>
    <w:rPr>
      <w:rFonts w:ascii="Times New Roman" w:hAnsi="Times New Roman" w:cs="Times New Roman"/>
      <w:szCs w:val="24"/>
    </w:rPr>
  </w:style>
  <w:style w:type="paragraph" w:styleId="Rientronormale">
    <w:name w:val="Normal Indent"/>
    <w:basedOn w:val="Normale"/>
    <w:uiPriority w:val="99"/>
    <w:semiHidden/>
    <w:rsid w:val="002D609F"/>
    <w:pPr>
      <w:ind w:left="720"/>
    </w:pPr>
  </w:style>
  <w:style w:type="paragraph" w:styleId="Intestazionenota">
    <w:name w:val="Note Heading"/>
    <w:basedOn w:val="Normale"/>
    <w:next w:val="Normale"/>
    <w:link w:val="IntestazionenotaCarattere"/>
    <w:uiPriority w:val="99"/>
    <w:semiHidden/>
    <w:rsid w:val="002D609F"/>
  </w:style>
  <w:style w:type="character" w:customStyle="1" w:styleId="IntestazionenotaCarattere">
    <w:name w:val="Intestazione nota Carattere"/>
    <w:basedOn w:val="Carpredefinitoparagrafo"/>
    <w:link w:val="Intestazionenota"/>
    <w:uiPriority w:val="99"/>
    <w:semiHidden/>
    <w:rsid w:val="002D609F"/>
    <w:rPr>
      <w:rFonts w:eastAsiaTheme="minorEastAsia"/>
      <w:sz w:val="24"/>
      <w:lang w:val="fr-FR"/>
    </w:rPr>
  </w:style>
  <w:style w:type="character" w:styleId="Testosegnaposto">
    <w:name w:val="Placeholder Text"/>
    <w:basedOn w:val="Carpredefinitoparagrafo"/>
    <w:uiPriority w:val="99"/>
    <w:semiHidden/>
    <w:rsid w:val="002D609F"/>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2D609F"/>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D609F"/>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2D609F"/>
  </w:style>
  <w:style w:type="character" w:customStyle="1" w:styleId="FormuladiaperturaCarattere">
    <w:name w:val="Formula di apertura Carattere"/>
    <w:basedOn w:val="Carpredefinitoparagrafo"/>
    <w:link w:val="Formuladiapertura"/>
    <w:uiPriority w:val="99"/>
    <w:semiHidden/>
    <w:rsid w:val="002D609F"/>
    <w:rPr>
      <w:rFonts w:eastAsiaTheme="minorEastAsia"/>
      <w:sz w:val="24"/>
      <w:lang w:val="fr-FR"/>
    </w:rPr>
  </w:style>
  <w:style w:type="paragraph" w:styleId="Firma">
    <w:name w:val="Signature"/>
    <w:basedOn w:val="Normale"/>
    <w:link w:val="FirmaCarattere"/>
    <w:uiPriority w:val="99"/>
    <w:semiHidden/>
    <w:rsid w:val="002D609F"/>
    <w:pPr>
      <w:ind w:left="4252"/>
    </w:pPr>
  </w:style>
  <w:style w:type="character" w:customStyle="1" w:styleId="FirmaCarattere">
    <w:name w:val="Firma Carattere"/>
    <w:basedOn w:val="Carpredefinitoparagrafo"/>
    <w:link w:val="Firma"/>
    <w:uiPriority w:val="99"/>
    <w:semiHidden/>
    <w:rsid w:val="002D609F"/>
    <w:rPr>
      <w:rFonts w:eastAsiaTheme="minorEastAsia"/>
      <w:sz w:val="24"/>
      <w:lang w:val="fr-FR"/>
    </w:rPr>
  </w:style>
  <w:style w:type="table" w:styleId="Tabellaeffetti3D1">
    <w:name w:val="Table 3D effects 1"/>
    <w:basedOn w:val="Tabellanormale"/>
    <w:uiPriority w:val="99"/>
    <w:semiHidden/>
    <w:unhideWhenUsed/>
    <w:rsid w:val="002D609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609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609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609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609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609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609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609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609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609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609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609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609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609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609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609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609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D609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D609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D609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D609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D609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D609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D609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D609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D609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D609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D609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D609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D609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D609F"/>
    <w:pPr>
      <w:ind w:left="240" w:hanging="240"/>
    </w:pPr>
  </w:style>
  <w:style w:type="paragraph" w:styleId="Indicedellefigure">
    <w:name w:val="table of figures"/>
    <w:basedOn w:val="Normale"/>
    <w:next w:val="Normale"/>
    <w:uiPriority w:val="99"/>
    <w:semiHidden/>
    <w:rsid w:val="002D609F"/>
  </w:style>
  <w:style w:type="table" w:styleId="Tabellaprofessionale">
    <w:name w:val="Table Professional"/>
    <w:basedOn w:val="Tabellanormale"/>
    <w:uiPriority w:val="99"/>
    <w:semiHidden/>
    <w:unhideWhenUsed/>
    <w:rsid w:val="002D609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609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609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609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609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609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609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609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609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609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2D609F"/>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2D609F"/>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2D609F"/>
    <w:pPr>
      <w:spacing w:after="100"/>
      <w:ind w:left="1680"/>
    </w:pPr>
  </w:style>
  <w:style w:type="paragraph" w:styleId="Sommario9">
    <w:name w:val="toc 9"/>
    <w:basedOn w:val="Normale"/>
    <w:next w:val="Normale"/>
    <w:autoRedefine/>
    <w:uiPriority w:val="99"/>
    <w:semiHidden/>
    <w:rsid w:val="002D609F"/>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FooterLine">
    <w:name w:val="_Footer_Line"/>
    <w:aliases w:val="Footer_Line"/>
    <w:basedOn w:val="Normale"/>
    <w:next w:val="Footer"/>
    <w:uiPriority w:val="57"/>
    <w:semiHidden/>
    <w:rsid w:val="002D609F"/>
    <w:pPr>
      <w:pBdr>
        <w:top w:val="single" w:sz="6" w:space="1" w:color="5F5F5F"/>
      </w:pBdr>
      <w:tabs>
        <w:tab w:val="center" w:pos="4536"/>
        <w:tab w:val="right" w:pos="9696"/>
      </w:tabs>
      <w:ind w:left="-680" w:right="-680"/>
    </w:pPr>
    <w:rPr>
      <w:color w:val="5F5F5F"/>
    </w:rPr>
  </w:style>
  <w:style w:type="character" w:customStyle="1" w:styleId="JuParaChar">
    <w:name w:val="Ju_Para Char"/>
    <w:aliases w:val="_Para Char"/>
    <w:link w:val="JuPara"/>
    <w:uiPriority w:val="12"/>
    <w:rsid w:val="00936DC0"/>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577E-00B2-4CDB-B919-289CB0283A68}">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F29475B-8979-4C87-93C0-B149B3F12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09F973-12D2-4953-A0A4-A7C31AE2EF18}">
  <ds:schemaRefs>
    <ds:schemaRef ds:uri="http://schemas.microsoft.com/sharepoint/v3/contenttype/forms"/>
  </ds:schemaRefs>
</ds:datastoreItem>
</file>

<file path=customXml/itemProps4.xml><?xml version="1.0" encoding="utf-8"?>
<ds:datastoreItem xmlns:ds="http://schemas.openxmlformats.org/officeDocument/2006/customXml" ds:itemID="{B2B95D83-FB00-4C10-BD84-1FE4EBCB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10821</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2020-04-14T14:04:00Z</dcterms:created>
  <dcterms:modified xsi:type="dcterms:W3CDTF">2020-04-14T14:04:00Z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27969/10</vt:lpwstr>
  </property>
  <property fmtid="{D5CDD505-2E9C-101B-9397-08002B2CF9AE}" pid="4" name="CASEID">
    <vt:lpwstr>641927</vt:lpwstr>
  </property>
  <property fmtid="{D5CDD505-2E9C-101B-9397-08002B2CF9AE}" pid="5" name="ContentTypeId">
    <vt:lpwstr>0x010100558EB02BDB9E204AB350EDD385B68E10</vt:lpwstr>
  </property>
</Properties>
</file>